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0" w:after="0"/>
        <w:ind w:left="0" w:right="0" w:hanging="0"/>
        <w:jc w:val="right"/>
        <w:rPr>
          <w:sz w:val="24"/>
          <w:szCs w:val="24"/>
        </w:rPr>
      </w:pPr>
      <w:bookmarkStart w:id="0" w:name="__UnoMark__1333_349381128"/>
      <w:bookmarkEnd w:id="0"/>
      <w:r>
        <w:rPr>
          <w:rFonts w:eastAsia="Times New Roman" w:cs="Times New Roman"/>
          <w:b/>
          <w:bCs/>
          <w:i w:val="false"/>
          <w:iCs w:val="false"/>
          <w:color w:val="00000A"/>
          <w:spacing w:val="0"/>
          <w:sz w:val="24"/>
          <w:szCs w:val="24"/>
          <w:shd w:fill="FFFFFF" w:val="clear"/>
        </w:rPr>
        <w:t>Załącznik Nr 2</w:t>
      </w:r>
    </w:p>
    <w:p>
      <w:pPr>
        <w:pStyle w:val="Normal"/>
        <w:jc w:val="center"/>
        <w:rPr>
          <w:rFonts w:cs="Tahoma"/>
          <w:b/>
          <w:b/>
          <w:bCs/>
          <w:sz w:val="28"/>
          <w:szCs w:val="28"/>
        </w:rPr>
      </w:pPr>
      <w:r>
        <w:rPr>
          <w:rFonts w:cs="Tahoma"/>
          <w:b/>
          <w:bCs/>
          <w:sz w:val="28"/>
          <w:szCs w:val="28"/>
        </w:rPr>
      </w:r>
    </w:p>
    <w:p>
      <w:pPr>
        <w:pStyle w:val="Normal"/>
        <w:jc w:val="center"/>
        <w:rPr/>
      </w:pPr>
      <w:r>
        <w:rPr>
          <w:rFonts w:cs="Tahoma"/>
          <w:b/>
          <w:bCs/>
          <w:sz w:val="28"/>
          <w:szCs w:val="28"/>
        </w:rPr>
        <w:t xml:space="preserve">        </w:t>
      </w:r>
      <w:r>
        <w:rPr>
          <w:rFonts w:cs="Tahoma"/>
          <w:b/>
          <w:bCs/>
          <w:sz w:val="28"/>
          <w:szCs w:val="28"/>
        </w:rPr>
        <w:t xml:space="preserve">PROJEKT   UMOWY  </w:t>
      </w:r>
      <w:r>
        <w:rPr>
          <w:rFonts w:cs="Tahoma"/>
          <w:b/>
          <w:bCs/>
          <w:color w:val="000000"/>
          <w:sz w:val="28"/>
          <w:szCs w:val="28"/>
        </w:rPr>
        <w:t xml:space="preserve"> Nr </w:t>
      </w:r>
      <w:r>
        <w:rPr>
          <w:rFonts w:cs="Tahoma"/>
          <w:b/>
          <w:bCs/>
          <w:color w:val="000000"/>
          <w:sz w:val="28"/>
          <w:szCs w:val="28"/>
        </w:rPr>
        <w:t>5</w:t>
      </w:r>
      <w:r>
        <w:rPr>
          <w:rFonts w:cs="Tahoma"/>
          <w:b/>
          <w:bCs/>
          <w:color w:val="000000"/>
          <w:sz w:val="28"/>
          <w:szCs w:val="28"/>
        </w:rPr>
        <w:t xml:space="preserve">/TBS „KARO”/2017  </w:t>
      </w:r>
    </w:p>
    <w:p>
      <w:pPr>
        <w:pStyle w:val="Normal"/>
        <w:jc w:val="center"/>
        <w:rPr>
          <w:rFonts w:cs="Tahoma"/>
          <w:b/>
          <w:b/>
          <w:bCs/>
          <w:color w:val="000000"/>
          <w:sz w:val="28"/>
          <w:szCs w:val="28"/>
        </w:rPr>
      </w:pPr>
      <w:r>
        <w:rPr>
          <w:rFonts w:cs="Tahoma"/>
          <w:b/>
          <w:bCs/>
          <w:color w:val="000000"/>
          <w:sz w:val="28"/>
          <w:szCs w:val="28"/>
        </w:rPr>
      </w:r>
    </w:p>
    <w:p>
      <w:pPr>
        <w:pStyle w:val="Normal"/>
        <w:jc w:val="center"/>
        <w:rPr>
          <w:rFonts w:cs="Tahoma"/>
          <w:b/>
          <w:b/>
          <w:bCs/>
          <w:sz w:val="28"/>
          <w:szCs w:val="28"/>
        </w:rPr>
      </w:pPr>
      <w:r>
        <w:rPr>
          <w:rFonts w:cs="Tahoma"/>
          <w:b/>
          <w:bCs/>
          <w:sz w:val="28"/>
          <w:szCs w:val="28"/>
        </w:rPr>
      </w:r>
    </w:p>
    <w:p>
      <w:pPr>
        <w:pStyle w:val="Normal"/>
        <w:jc w:val="both"/>
        <w:rPr/>
      </w:pPr>
      <w:r>
        <w:rPr>
          <w:rFonts w:cs="Tahoma"/>
          <w:sz w:val="24"/>
          <w:szCs w:val="24"/>
        </w:rPr>
        <w:t>zawarta w dniu</w:t>
      </w:r>
      <w:r>
        <w:rPr>
          <w:rFonts w:cs="Tahoma"/>
          <w:color w:val="FF3300"/>
          <w:sz w:val="24"/>
          <w:szCs w:val="24"/>
        </w:rPr>
        <w:t xml:space="preserve"> </w:t>
      </w:r>
      <w:r>
        <w:rPr>
          <w:rFonts w:cs="Tahoma"/>
          <w:color w:val="000000"/>
          <w:sz w:val="24"/>
          <w:szCs w:val="24"/>
        </w:rPr>
        <w:t>…………</w:t>
      </w:r>
      <w:r>
        <w:rPr>
          <w:rFonts w:cs="Tahoma"/>
          <w:color w:val="FF3300"/>
          <w:sz w:val="24"/>
          <w:szCs w:val="24"/>
        </w:rPr>
        <w:t xml:space="preserve">.. </w:t>
      </w:r>
      <w:r>
        <w:rPr>
          <w:rFonts w:cs="Tahoma"/>
          <w:b/>
          <w:bCs/>
          <w:color w:val="000000"/>
          <w:sz w:val="24"/>
          <w:szCs w:val="24"/>
        </w:rPr>
        <w:t>2017</w:t>
      </w:r>
      <w:r>
        <w:rPr>
          <w:rFonts w:cs="Tahoma"/>
          <w:sz w:val="24"/>
          <w:szCs w:val="24"/>
        </w:rPr>
        <w:t xml:space="preserve"> roku w Mrągowie, pomiędzy </w:t>
      </w:r>
      <w:r>
        <w:rPr>
          <w:rFonts w:cs="Tahoma"/>
          <w:b/>
          <w:bCs/>
          <w:color w:val="000000"/>
          <w:sz w:val="24"/>
          <w:szCs w:val="24"/>
        </w:rPr>
        <w:t>Towarzystwem  Budownictwa  Społecznego   „KARO”   Sp. z o.o.</w:t>
      </w:r>
      <w:r>
        <w:rPr>
          <w:rFonts w:cs="Tahoma"/>
          <w:b/>
          <w:color w:val="000000"/>
          <w:sz w:val="24"/>
          <w:szCs w:val="24"/>
        </w:rPr>
        <w:t xml:space="preserve">  </w:t>
      </w:r>
      <w:r>
        <w:rPr>
          <w:rFonts w:cs="Tahoma"/>
          <w:color w:val="000000"/>
          <w:sz w:val="24"/>
          <w:szCs w:val="24"/>
        </w:rPr>
        <w:t>mającą  siedzibę  w  Mrągowie,   ul. Kopernika  11, 11-700 Mrągowo</w:t>
      </w:r>
      <w:r>
        <w:rPr>
          <w:rFonts w:cs="Tahoma"/>
          <w:b/>
          <w:color w:val="000000"/>
          <w:sz w:val="24"/>
          <w:szCs w:val="24"/>
        </w:rPr>
        <w:t xml:space="preserve"> </w:t>
      </w:r>
      <w:r>
        <w:rPr>
          <w:rFonts w:cs="Tahoma"/>
          <w:sz w:val="24"/>
          <w:szCs w:val="24"/>
        </w:rPr>
        <w:t xml:space="preserve">o kapitale zakładowym w wysokości </w:t>
      </w:r>
      <w:r>
        <w:rPr>
          <w:rFonts w:cs="Tahoma"/>
          <w:color w:val="000000"/>
          <w:sz w:val="24"/>
          <w:szCs w:val="24"/>
        </w:rPr>
        <w:t xml:space="preserve">3.134.000 </w:t>
      </w:r>
      <w:r>
        <w:rPr>
          <w:rFonts w:cs="Tahoma"/>
          <w:sz w:val="24"/>
          <w:szCs w:val="24"/>
        </w:rPr>
        <w:t xml:space="preserve">zł, NIP nr 742-18-76-503 wpisaną do rejestru przedsiębiorców KRS w Sądzie Rejonowym w Olsztynie pod numerem 0000073741, zwaną dalej </w:t>
      </w:r>
      <w:r>
        <w:rPr>
          <w:rFonts w:cs="Tahoma"/>
          <w:color w:val="000000"/>
          <w:sz w:val="24"/>
          <w:szCs w:val="24"/>
        </w:rPr>
        <w:t>„</w:t>
      </w:r>
      <w:r>
        <w:rPr>
          <w:rFonts w:cs="Tahoma"/>
          <w:b/>
          <w:color w:val="000000"/>
          <w:sz w:val="24"/>
          <w:szCs w:val="24"/>
        </w:rPr>
        <w:t>Wykonawcą</w:t>
      </w:r>
      <w:r>
        <w:rPr>
          <w:rFonts w:cs="Tahoma"/>
          <w:color w:val="000000"/>
          <w:sz w:val="24"/>
          <w:szCs w:val="24"/>
        </w:rPr>
        <w:t xml:space="preserve">” </w:t>
      </w:r>
      <w:r>
        <w:rPr>
          <w:rFonts w:cs="Tahoma"/>
          <w:sz w:val="24"/>
          <w:szCs w:val="24"/>
        </w:rPr>
        <w:t xml:space="preserve">reprezentowaną przez: </w:t>
      </w:r>
    </w:p>
    <w:p>
      <w:pPr>
        <w:pStyle w:val="Normal"/>
        <w:jc w:val="both"/>
        <w:rPr>
          <w:rFonts w:ascii="Times New Roman" w:hAnsi="Times New Roman"/>
          <w:sz w:val="24"/>
          <w:szCs w:val="24"/>
        </w:rPr>
      </w:pPr>
      <w:r>
        <w:rPr>
          <w:rFonts w:cs="Tahoma"/>
          <w:sz w:val="24"/>
          <w:szCs w:val="24"/>
        </w:rPr>
        <w:t xml:space="preserve">1.    </w:t>
      </w:r>
      <w:r>
        <w:rPr>
          <w:rFonts w:cs="Tahoma"/>
          <w:b/>
          <w:bCs/>
          <w:sz w:val="24"/>
          <w:szCs w:val="24"/>
        </w:rPr>
        <w:t>Tomasza Żbikowskiego  - Prezesa Zarządu</w:t>
      </w:r>
      <w:r>
        <w:rPr>
          <w:rFonts w:cs="Tahoma"/>
          <w:sz w:val="24"/>
          <w:szCs w:val="24"/>
        </w:rPr>
        <w:t xml:space="preserve">  </w:t>
      </w:r>
    </w:p>
    <w:p>
      <w:pPr>
        <w:pStyle w:val="Normal"/>
        <w:jc w:val="both"/>
        <w:rPr>
          <w:rFonts w:ascii="Times New Roman" w:hAnsi="Times New Roman" w:cs="Tahoma"/>
          <w:sz w:val="24"/>
          <w:szCs w:val="24"/>
        </w:rPr>
      </w:pPr>
      <w:r>
        <w:rPr>
          <w:rFonts w:cs="Tahoma"/>
          <w:sz w:val="24"/>
          <w:szCs w:val="24"/>
        </w:rPr>
        <w:t>a …………………………………………………………………………………………………………</w:t>
      </w:r>
    </w:p>
    <w:p>
      <w:pPr>
        <w:pStyle w:val="Normal"/>
        <w:jc w:val="both"/>
        <w:rPr>
          <w:rFonts w:cs="Tahoma"/>
          <w:sz w:val="24"/>
          <w:szCs w:val="24"/>
        </w:rPr>
      </w:pPr>
      <w:r>
        <w:rPr>
          <w:rFonts w:cs="Tahoma"/>
          <w:sz w:val="24"/>
          <w:szCs w:val="24"/>
        </w:rPr>
      </w:r>
    </w:p>
    <w:p>
      <w:pPr>
        <w:pStyle w:val="Normal"/>
        <w:jc w:val="both"/>
        <w:rPr>
          <w:rFonts w:ascii="Times New Roman" w:hAnsi="Times New Roman" w:cs="Tahoma"/>
          <w:sz w:val="24"/>
          <w:szCs w:val="24"/>
        </w:rPr>
      </w:pPr>
      <w:r>
        <w:rPr>
          <w:rFonts w:cs="Tahoma"/>
          <w:sz w:val="24"/>
          <w:szCs w:val="24"/>
        </w:rPr>
        <w:t>…………………………………………………………………………………………………………</w:t>
      </w:r>
    </w:p>
    <w:p>
      <w:pPr>
        <w:pStyle w:val="Normal"/>
        <w:jc w:val="both"/>
        <w:rPr/>
      </w:pPr>
      <w:r>
        <w:rPr>
          <w:rFonts w:cs="Tahoma"/>
          <w:sz w:val="24"/>
          <w:szCs w:val="24"/>
        </w:rPr>
        <w:t>reprezentowanym przez:</w:t>
      </w:r>
    </w:p>
    <w:p>
      <w:pPr>
        <w:pStyle w:val="Normal"/>
        <w:jc w:val="both"/>
        <w:rPr>
          <w:rFonts w:ascii="Times New Roman" w:hAnsi="Times New Roman" w:cs="Tahoma"/>
          <w:sz w:val="24"/>
          <w:szCs w:val="24"/>
        </w:rPr>
      </w:pPr>
      <w:r>
        <w:rPr>
          <w:rFonts w:cs="Tahoma"/>
          <w:sz w:val="24"/>
          <w:szCs w:val="24"/>
        </w:rPr>
      </w:r>
    </w:p>
    <w:p>
      <w:pPr>
        <w:pStyle w:val="Normal"/>
        <w:jc w:val="both"/>
        <w:rPr/>
      </w:pPr>
      <w:r>
        <w:rPr>
          <w:rFonts w:cs="Tahoma"/>
          <w:sz w:val="24"/>
          <w:szCs w:val="24"/>
        </w:rPr>
        <w:t xml:space="preserve">2.    </w:t>
      </w:r>
      <w:r>
        <w:rPr>
          <w:rFonts w:cs="Tahoma"/>
          <w:b/>
          <w:bCs/>
          <w:sz w:val="24"/>
          <w:szCs w:val="24"/>
        </w:rPr>
        <w:t>…………………………………………………...</w:t>
      </w:r>
    </w:p>
    <w:p>
      <w:pPr>
        <w:pStyle w:val="Normal"/>
        <w:jc w:val="both"/>
        <w:rPr/>
      </w:pPr>
      <w:r>
        <w:rPr>
          <w:rFonts w:cs="Tahoma"/>
          <w:sz w:val="24"/>
          <w:szCs w:val="24"/>
        </w:rPr>
        <w:t xml:space="preserve">zwanym dalej </w:t>
      </w:r>
      <w:r>
        <w:rPr>
          <w:rFonts w:cs="Tahoma"/>
          <w:b/>
          <w:bCs/>
          <w:color w:val="000000"/>
          <w:sz w:val="24"/>
          <w:szCs w:val="24"/>
        </w:rPr>
        <w:t>„Podwykonawcą”</w:t>
      </w:r>
      <w:r>
        <w:rPr>
          <w:rFonts w:cs="Tahoma"/>
          <w:sz w:val="24"/>
          <w:szCs w:val="24"/>
        </w:rPr>
        <w:t>, treści następującej:</w:t>
      </w:r>
    </w:p>
    <w:p>
      <w:pPr>
        <w:pStyle w:val="Normal"/>
        <w:jc w:val="both"/>
        <w:rPr>
          <w:rFonts w:cs="Tahoma"/>
        </w:rPr>
      </w:pPr>
      <w:r>
        <w:rPr>
          <w:rFonts w:cs="Tahoma"/>
        </w:rPr>
      </w:r>
    </w:p>
    <w:p>
      <w:pPr>
        <w:pStyle w:val="Normal"/>
        <w:jc w:val="both"/>
        <w:rPr>
          <w:rFonts w:ascii="Times New Roman" w:hAnsi="Times New Roman"/>
          <w:sz w:val="24"/>
          <w:szCs w:val="24"/>
        </w:rPr>
      </w:pPr>
      <w:r>
        <w:rPr>
          <w:rFonts w:cs="Tahoma"/>
        </w:rPr>
        <w:t xml:space="preserve">                                                                       </w:t>
      </w:r>
      <w:r>
        <w:rPr>
          <w:rFonts w:cs="Tahoma"/>
        </w:rPr>
        <w:t xml:space="preserve">§ 1   </w:t>
      </w:r>
    </w:p>
    <w:p>
      <w:pPr>
        <w:pStyle w:val="Normal"/>
        <w:numPr>
          <w:ilvl w:val="0"/>
          <w:numId w:val="0"/>
        </w:numPr>
        <w:jc w:val="both"/>
        <w:rPr>
          <w:rFonts w:cs="Tahoma"/>
        </w:rPr>
      </w:pPr>
      <w:r>
        <w:rPr>
          <w:rFonts w:cs="Tahoma"/>
        </w:rPr>
      </w:r>
    </w:p>
    <w:p>
      <w:pPr>
        <w:pStyle w:val="Normal"/>
        <w:numPr>
          <w:ilvl w:val="0"/>
          <w:numId w:val="6"/>
        </w:numPr>
        <w:jc w:val="both"/>
        <w:rPr/>
      </w:pPr>
      <w:r>
        <w:rPr>
          <w:rFonts w:cs="Tahoma"/>
          <w:color w:val="000000"/>
          <w:sz w:val="24"/>
          <w:szCs w:val="24"/>
        </w:rPr>
        <w:t>Wykonawca</w:t>
      </w:r>
      <w:r>
        <w:rPr>
          <w:rFonts w:cs="Tahoma"/>
          <w:sz w:val="24"/>
          <w:szCs w:val="24"/>
        </w:rPr>
        <w:t xml:space="preserve"> w drodze procedury konkurencyjnej (rozeznanie rynku) zleca do wykonania, a Po</w:t>
      </w:r>
      <w:r>
        <w:rPr>
          <w:rFonts w:cs="Tahoma"/>
          <w:color w:val="000000"/>
          <w:sz w:val="24"/>
          <w:szCs w:val="24"/>
        </w:rPr>
        <w:t>dwykonawc</w:t>
      </w:r>
      <w:r>
        <w:rPr>
          <w:rFonts w:cs="Tahoma"/>
          <w:sz w:val="24"/>
          <w:szCs w:val="24"/>
        </w:rPr>
        <w:t xml:space="preserve">a przyjmuje do realizacji roboty pn. </w:t>
      </w:r>
      <w:r>
        <w:rPr>
          <w:rFonts w:eastAsia="Times New Roman" w:cs="Times New Roman"/>
          <w:b/>
          <w:bCs/>
          <w:color w:val="000000"/>
          <w:spacing w:val="0"/>
          <w:sz w:val="24"/>
          <w:szCs w:val="24"/>
          <w:shd w:fill="FFFFFF" w:val="clear"/>
        </w:rPr>
        <w:t xml:space="preserve">Remont elewacji budynku mieszkalnego wielorodzinnego, ul. </w:t>
      </w:r>
      <w:r>
        <w:rPr>
          <w:rFonts w:eastAsia="Times New Roman" w:cs="Times New Roman"/>
          <w:b/>
          <w:bCs/>
          <w:color w:val="000000"/>
          <w:spacing w:val="0"/>
          <w:sz w:val="24"/>
          <w:szCs w:val="24"/>
          <w:shd w:fill="FFFFFF" w:val="clear"/>
        </w:rPr>
        <w:t>Mrongowiusza 4</w:t>
      </w:r>
      <w:r>
        <w:rPr>
          <w:rFonts w:eastAsia="Times New Roman" w:cs="Times New Roman"/>
          <w:b/>
          <w:bCs/>
          <w:color w:val="000000"/>
          <w:spacing w:val="0"/>
          <w:sz w:val="24"/>
          <w:szCs w:val="24"/>
          <w:shd w:fill="FFFFFF" w:val="clear"/>
        </w:rPr>
        <w:t>,</w:t>
      </w:r>
      <w:r>
        <w:rPr>
          <w:rFonts w:eastAsia="Times New Roman" w:cs="Times New Roman"/>
          <w:b/>
          <w:bCs/>
          <w:color w:val="00000A"/>
          <w:spacing w:val="0"/>
          <w:sz w:val="24"/>
          <w:szCs w:val="24"/>
          <w:shd w:fill="FFFFFF" w:val="clear"/>
        </w:rPr>
        <w:t xml:space="preserve"> 11-700 Mrągowo.</w:t>
      </w:r>
      <w:r>
        <w:rPr>
          <w:rFonts w:cs="Tahoma"/>
          <w:b/>
          <w:i/>
          <w:iCs/>
          <w:sz w:val="24"/>
          <w:szCs w:val="24"/>
        </w:rPr>
        <w:t xml:space="preserve">         </w:t>
      </w:r>
    </w:p>
    <w:p>
      <w:pPr>
        <w:pStyle w:val="Normal"/>
        <w:numPr>
          <w:ilvl w:val="0"/>
          <w:numId w:val="6"/>
        </w:numPr>
        <w:jc w:val="both"/>
        <w:rPr/>
      </w:pPr>
      <w:r>
        <w:rPr>
          <w:rFonts w:cs="Tahoma"/>
          <w:b w:val="false"/>
          <w:bCs w:val="false"/>
          <w:i w:val="false"/>
          <w:iCs w:val="false"/>
          <w:sz w:val="24"/>
          <w:szCs w:val="24"/>
        </w:rPr>
        <w:t>Przedmiotem zamówienia jest remont elewacji, którego zakres określa przedmiar (Załącznik Nr 3).</w:t>
      </w:r>
    </w:p>
    <w:p>
      <w:pPr>
        <w:pStyle w:val="Normal"/>
        <w:numPr>
          <w:ilvl w:val="0"/>
          <w:numId w:val="6"/>
        </w:numPr>
        <w:jc w:val="both"/>
        <w:rPr>
          <w:rFonts w:ascii="Times New Roman" w:hAnsi="Times New Roman"/>
          <w:b w:val="false"/>
          <w:b w:val="false"/>
          <w:bCs w:val="false"/>
          <w:i w:val="false"/>
          <w:i w:val="false"/>
          <w:iCs w:val="false"/>
          <w:sz w:val="24"/>
          <w:szCs w:val="24"/>
        </w:rPr>
      </w:pPr>
      <w:r>
        <w:rPr>
          <w:rFonts w:cs="Tahoma"/>
          <w:b w:val="false"/>
          <w:bCs w:val="false"/>
          <w:i w:val="false"/>
          <w:iCs w:val="false"/>
          <w:sz w:val="24"/>
          <w:szCs w:val="24"/>
          <w:lang w:val="pl-PL"/>
        </w:rPr>
        <w:t>Zakres świadczenia Podwykonawcy wynikający z umowy jest tożsamy z jego zobowiązaniem zawartym w ofercie z dnia ………...2017r.  ,</w:t>
      </w:r>
      <w:r>
        <w:rPr>
          <w:rFonts w:cs="Tahoma"/>
          <w:b/>
          <w:bCs w:val="false"/>
          <w:i w:val="false"/>
          <w:iCs w:val="false"/>
          <w:sz w:val="24"/>
          <w:szCs w:val="24"/>
          <w:lang w:val="pl-PL"/>
        </w:rPr>
        <w:t xml:space="preserve"> </w:t>
      </w:r>
      <w:r>
        <w:rPr>
          <w:rFonts w:cs="Tahoma"/>
          <w:b w:val="false"/>
          <w:bCs w:val="false"/>
          <w:i w:val="false"/>
          <w:iCs w:val="false"/>
          <w:sz w:val="24"/>
          <w:szCs w:val="24"/>
          <w:lang w:val="pl-PL"/>
        </w:rPr>
        <w:t xml:space="preserve">która stanowi integralną część umowy. </w:t>
      </w:r>
    </w:p>
    <w:p>
      <w:pPr>
        <w:pStyle w:val="Normal"/>
        <w:numPr>
          <w:ilvl w:val="0"/>
          <w:numId w:val="0"/>
        </w:numPr>
        <w:jc w:val="both"/>
        <w:rPr>
          <w:rFonts w:ascii="Times New Roman" w:hAnsi="Times New Roman" w:cs="Tahoma"/>
          <w:b w:val="false"/>
          <w:b w:val="false"/>
          <w:bCs w:val="false"/>
          <w:i w:val="false"/>
          <w:i w:val="false"/>
          <w:iCs w:val="false"/>
          <w:sz w:val="24"/>
          <w:szCs w:val="24"/>
        </w:rPr>
      </w:pPr>
      <w:r>
        <w:rPr>
          <w:rFonts w:cs="Tahoma"/>
          <w:b w:val="false"/>
          <w:bCs w:val="false"/>
          <w:i w:val="false"/>
          <w:iCs w:val="false"/>
          <w:sz w:val="24"/>
          <w:szCs w:val="24"/>
        </w:rPr>
      </w:r>
    </w:p>
    <w:p>
      <w:pPr>
        <w:pStyle w:val="Normal"/>
        <w:jc w:val="both"/>
        <w:rPr/>
      </w:pPr>
      <w:r>
        <w:rPr>
          <w:rFonts w:cs="Tahoma"/>
        </w:rPr>
        <w:tab/>
        <w:tab/>
        <w:tab/>
        <w:tab/>
        <w:tab/>
        <w:tab/>
      </w:r>
      <w:r>
        <w:rPr>
          <w:rFonts w:cs="Tahoma"/>
          <w:color w:val="000000"/>
        </w:rPr>
        <w:t xml:space="preserve">§ 2  </w:t>
      </w:r>
    </w:p>
    <w:p>
      <w:pPr>
        <w:pStyle w:val="Normal"/>
        <w:jc w:val="both"/>
        <w:rPr>
          <w:rFonts w:cs="Tahoma"/>
          <w:color w:val="000000"/>
        </w:rPr>
      </w:pPr>
      <w:r>
        <w:rPr>
          <w:rFonts w:cs="Tahoma"/>
          <w:color w:val="000000"/>
        </w:rPr>
      </w:r>
    </w:p>
    <w:p>
      <w:pPr>
        <w:pStyle w:val="Normal"/>
        <w:jc w:val="both"/>
        <w:rPr>
          <w:rFonts w:cs="Tahoma"/>
        </w:rPr>
      </w:pPr>
      <w:r>
        <w:rPr>
          <w:rFonts w:cs="Tahoma"/>
          <w:color w:val="000000"/>
        </w:rPr>
        <w:t>Termin wykonania robót:</w:t>
      </w:r>
    </w:p>
    <w:p>
      <w:pPr>
        <w:pStyle w:val="Normal"/>
        <w:jc w:val="both"/>
        <w:rPr/>
      </w:pPr>
      <w:r>
        <w:rPr>
          <w:rFonts w:cs="Tahoma"/>
          <w:color w:val="000000"/>
        </w:rPr>
        <w:t xml:space="preserve">Rozpoczęcie – </w:t>
      </w:r>
      <w:r>
        <w:rPr>
          <w:rFonts w:cs="Tahoma"/>
          <w:b/>
          <w:bCs/>
          <w:color w:val="000000"/>
        </w:rPr>
        <w:t>niezwłocznie po podpisaniu</w:t>
      </w:r>
      <w:r>
        <w:rPr>
          <w:rFonts w:cs="Tahoma"/>
          <w:b/>
          <w:color w:val="000000"/>
        </w:rPr>
        <w:t xml:space="preserve"> umowy</w:t>
      </w:r>
    </w:p>
    <w:p>
      <w:pPr>
        <w:pStyle w:val="Normal"/>
        <w:jc w:val="both"/>
        <w:rPr/>
      </w:pPr>
      <w:r>
        <w:rPr>
          <w:rFonts w:cs="Tahoma"/>
          <w:color w:val="000000"/>
        </w:rPr>
        <w:t>Zakończenie –</w:t>
      </w:r>
      <w:r>
        <w:rPr>
          <w:rFonts w:cs="Tahoma"/>
          <w:color w:val="FF3300"/>
        </w:rPr>
        <w:t xml:space="preserve"> </w:t>
      </w:r>
      <w:r>
        <w:rPr>
          <w:rFonts w:cs="Tahoma"/>
          <w:b/>
          <w:bCs/>
          <w:color w:val="000000"/>
        </w:rPr>
        <w:t>07</w:t>
      </w:r>
      <w:r>
        <w:rPr>
          <w:rFonts w:cs="Tahoma"/>
          <w:b/>
          <w:bCs/>
          <w:color w:val="000000"/>
        </w:rPr>
        <w:t xml:space="preserve"> </w:t>
      </w:r>
      <w:r>
        <w:rPr>
          <w:rFonts w:cs="Tahoma"/>
          <w:b/>
          <w:bCs/>
          <w:color w:val="000000"/>
        </w:rPr>
        <w:t>listopad</w:t>
      </w:r>
      <w:r>
        <w:rPr>
          <w:rFonts w:cs="Tahoma"/>
          <w:color w:val="FF3300"/>
        </w:rPr>
        <w:t xml:space="preserve"> </w:t>
      </w:r>
      <w:r>
        <w:rPr>
          <w:rFonts w:cs="Tahoma"/>
          <w:b/>
          <w:bCs/>
          <w:color w:val="000000"/>
        </w:rPr>
        <w:t xml:space="preserve">2017 r. </w:t>
      </w:r>
    </w:p>
    <w:p>
      <w:pPr>
        <w:pStyle w:val="Normal"/>
        <w:jc w:val="both"/>
        <w:rPr>
          <w:rFonts w:cs="Tahoma"/>
          <w:b/>
          <w:b/>
          <w:color w:val="FF3300"/>
        </w:rPr>
      </w:pPr>
      <w:r>
        <w:rPr>
          <w:rFonts w:cs="Tahoma"/>
          <w:b/>
          <w:color w:val="FF3300"/>
        </w:rPr>
      </w:r>
    </w:p>
    <w:p>
      <w:pPr>
        <w:pStyle w:val="Normal"/>
        <w:jc w:val="both"/>
        <w:rPr/>
      </w:pPr>
      <w:r>
        <w:rPr>
          <w:rFonts w:cs="Tahoma"/>
          <w:color w:val="FF3300"/>
        </w:rPr>
        <w:t xml:space="preserve">                                                                       </w:t>
      </w:r>
      <w:r>
        <w:rPr>
          <w:rFonts w:cs="Tahoma"/>
          <w:color w:val="000000"/>
        </w:rPr>
        <w:t xml:space="preserve"> </w:t>
      </w:r>
      <w:r>
        <w:rPr>
          <w:rFonts w:cs="Tahoma"/>
          <w:color w:val="000000"/>
        </w:rPr>
        <w:t xml:space="preserve">§ 3 </w:t>
      </w:r>
    </w:p>
    <w:p>
      <w:pPr>
        <w:pStyle w:val="Normal"/>
        <w:jc w:val="both"/>
        <w:rPr>
          <w:rFonts w:cs="Tahoma"/>
          <w:color w:val="000000"/>
        </w:rPr>
      </w:pPr>
      <w:r>
        <w:rPr>
          <w:rFonts w:cs="Tahoma"/>
          <w:color w:val="000000"/>
        </w:rPr>
      </w:r>
    </w:p>
    <w:p>
      <w:pPr>
        <w:pStyle w:val="Normal"/>
        <w:jc w:val="both"/>
        <w:rPr>
          <w:color w:val="000000"/>
        </w:rPr>
      </w:pPr>
      <w:r>
        <w:rPr>
          <w:rFonts w:cs="Tahoma"/>
          <w:color w:val="000000"/>
        </w:rPr>
        <w:t>Do obowiązków Wykonawcy należy :</w:t>
      </w:r>
    </w:p>
    <w:p>
      <w:pPr>
        <w:pStyle w:val="Normal"/>
        <w:numPr>
          <w:ilvl w:val="0"/>
          <w:numId w:val="1"/>
        </w:numPr>
        <w:tabs>
          <w:tab w:val="left" w:pos="720" w:leader="none"/>
        </w:tabs>
        <w:jc w:val="both"/>
        <w:rPr>
          <w:color w:val="000000"/>
        </w:rPr>
      </w:pPr>
      <w:r>
        <w:rPr>
          <w:rFonts w:cs="Tahoma"/>
          <w:color w:val="000000"/>
        </w:rPr>
        <w:t>Wprowadzenie Podwykonawcy na plac budowy,</w:t>
      </w:r>
    </w:p>
    <w:p>
      <w:pPr>
        <w:pStyle w:val="Normal"/>
        <w:numPr>
          <w:ilvl w:val="0"/>
          <w:numId w:val="1"/>
        </w:numPr>
        <w:tabs>
          <w:tab w:val="left" w:pos="720" w:leader="none"/>
        </w:tabs>
        <w:jc w:val="both"/>
        <w:rPr>
          <w:rFonts w:cs="Tahoma"/>
        </w:rPr>
      </w:pPr>
      <w:r>
        <w:rPr>
          <w:rFonts w:cs="Tahoma"/>
          <w:color w:val="000000"/>
        </w:rPr>
        <w:t>Dokonanie odbioru wykonanych robót w terminie 5 dni od dnia zgłoszenia ich do odbioru,</w:t>
      </w:r>
    </w:p>
    <w:p>
      <w:pPr>
        <w:pStyle w:val="Normal"/>
        <w:numPr>
          <w:ilvl w:val="0"/>
          <w:numId w:val="1"/>
        </w:numPr>
        <w:tabs>
          <w:tab w:val="left" w:pos="720" w:leader="none"/>
        </w:tabs>
        <w:jc w:val="both"/>
        <w:rPr/>
      </w:pPr>
      <w:r>
        <w:rPr>
          <w:rFonts w:cs="Tahoma"/>
          <w:color w:val="000000"/>
        </w:rPr>
        <w:t xml:space="preserve">Wypłacenie uzgodnionego wynagrodzenia za wykonane zlecenie w terminie i na warunkach podanych w § 5. </w:t>
      </w:r>
    </w:p>
    <w:p>
      <w:pPr>
        <w:pStyle w:val="Normal"/>
        <w:numPr>
          <w:ilvl w:val="0"/>
          <w:numId w:val="0"/>
        </w:numPr>
        <w:tabs>
          <w:tab w:val="left" w:pos="720" w:leader="none"/>
        </w:tabs>
        <w:jc w:val="both"/>
        <w:rPr>
          <w:rFonts w:cs="Tahoma"/>
          <w:color w:val="000000"/>
        </w:rPr>
      </w:pPr>
      <w:r>
        <w:rPr>
          <w:rFonts w:cs="Tahoma"/>
          <w:color w:val="000000"/>
        </w:rPr>
      </w:r>
    </w:p>
    <w:p>
      <w:pPr>
        <w:pStyle w:val="Normal"/>
        <w:jc w:val="both"/>
        <w:rPr/>
      </w:pPr>
      <w:r>
        <w:rPr>
          <w:rFonts w:cs="Tahoma"/>
          <w:color w:val="FF3300"/>
        </w:rPr>
        <w:t xml:space="preserve">                                                                        </w:t>
      </w:r>
      <w:r>
        <w:rPr>
          <w:rFonts w:cs="Tahoma"/>
          <w:color w:val="000000"/>
        </w:rPr>
        <w:t xml:space="preserve"> </w:t>
      </w:r>
      <w:r>
        <w:rPr>
          <w:rFonts w:cs="Tahoma"/>
          <w:color w:val="000000"/>
        </w:rPr>
        <w:t xml:space="preserve">§ 4 </w:t>
      </w:r>
    </w:p>
    <w:p>
      <w:pPr>
        <w:pStyle w:val="Normal"/>
        <w:jc w:val="both"/>
        <w:rPr>
          <w:rFonts w:cs="Tahoma"/>
          <w:color w:val="000000"/>
        </w:rPr>
      </w:pPr>
      <w:r>
        <w:rPr>
          <w:rFonts w:cs="Tahoma"/>
          <w:color w:val="000000"/>
        </w:rPr>
      </w:r>
    </w:p>
    <w:p>
      <w:pPr>
        <w:pStyle w:val="Normal"/>
        <w:jc w:val="both"/>
        <w:rPr>
          <w:color w:val="000000"/>
        </w:rPr>
      </w:pPr>
      <w:r>
        <w:rPr>
          <w:rFonts w:cs="Tahoma"/>
          <w:color w:val="000000"/>
        </w:rPr>
        <w:t>Do obowiązków Podwykonawcy należy:</w:t>
      </w:r>
    </w:p>
    <w:p>
      <w:pPr>
        <w:pStyle w:val="Normal"/>
        <w:numPr>
          <w:ilvl w:val="0"/>
          <w:numId w:val="2"/>
        </w:numPr>
        <w:tabs>
          <w:tab w:val="left" w:pos="720" w:leader="none"/>
        </w:tabs>
        <w:jc w:val="both"/>
        <w:rPr>
          <w:color w:val="000000"/>
        </w:rPr>
      </w:pPr>
      <w:r>
        <w:rPr>
          <w:rFonts w:cs="Tahoma"/>
          <w:color w:val="000000"/>
        </w:rPr>
        <w:t>Pełne zabezpieczenie materiałowe wykonywanych robót. Materiały powinny odpowiadać co do jakości, wymogom wyrobów dopuszczonych do obrotu.</w:t>
      </w:r>
    </w:p>
    <w:p>
      <w:pPr>
        <w:pStyle w:val="Normal"/>
        <w:numPr>
          <w:ilvl w:val="0"/>
          <w:numId w:val="2"/>
        </w:numPr>
        <w:tabs>
          <w:tab w:val="left" w:pos="720" w:leader="none"/>
        </w:tabs>
        <w:jc w:val="both"/>
        <w:rPr>
          <w:rFonts w:cs="Tahoma"/>
        </w:rPr>
      </w:pPr>
      <w:r>
        <w:rPr>
          <w:rFonts w:cs="Tahoma"/>
          <w:color w:val="000000"/>
        </w:rPr>
        <w:t>Odpowiednie oznakowanie i zabezpieczenie robót stanowiących zagrożenie dla otoczenia,</w:t>
      </w:r>
    </w:p>
    <w:p>
      <w:pPr>
        <w:pStyle w:val="Normal"/>
        <w:numPr>
          <w:ilvl w:val="0"/>
          <w:numId w:val="2"/>
        </w:numPr>
        <w:tabs>
          <w:tab w:val="left" w:pos="720" w:leader="none"/>
        </w:tabs>
        <w:jc w:val="both"/>
        <w:rPr>
          <w:color w:val="000000"/>
        </w:rPr>
      </w:pPr>
      <w:r>
        <w:rPr>
          <w:rFonts w:cs="Tahoma"/>
          <w:color w:val="000000"/>
        </w:rPr>
        <w:t>Terminowe dostarczenie Wykonawcy wymaganych protokołów odbioru, atestów i innych dokumentów związanych z realizowanym zadaniem,</w:t>
      </w:r>
    </w:p>
    <w:p>
      <w:pPr>
        <w:pStyle w:val="Normal"/>
        <w:numPr>
          <w:ilvl w:val="0"/>
          <w:numId w:val="2"/>
        </w:numPr>
        <w:tabs>
          <w:tab w:val="left" w:pos="720" w:leader="none"/>
        </w:tabs>
        <w:jc w:val="both"/>
        <w:rPr>
          <w:rFonts w:cs="Tahoma"/>
        </w:rPr>
      </w:pPr>
      <w:r>
        <w:rPr>
          <w:rFonts w:cs="Tahoma"/>
          <w:color w:val="000000"/>
        </w:rPr>
        <w:t>Uporządkowanie i doprowadzenie do pierwotnego stanu terenu po wykonanych robotach,</w:t>
      </w:r>
    </w:p>
    <w:p>
      <w:pPr>
        <w:pStyle w:val="Normal"/>
        <w:numPr>
          <w:ilvl w:val="0"/>
          <w:numId w:val="2"/>
        </w:numPr>
        <w:tabs>
          <w:tab w:val="left" w:pos="720" w:leader="none"/>
        </w:tabs>
        <w:jc w:val="both"/>
        <w:rPr>
          <w:rFonts w:cs="Tahoma"/>
        </w:rPr>
      </w:pPr>
      <w:r>
        <w:rPr>
          <w:rFonts w:cs="Tahoma"/>
          <w:color w:val="000000"/>
        </w:rPr>
        <w:t>Poniesienie pełnej odpowiedzialności za ewentualne szkody powstałe u osób trzecich          w trakcie wykonywania przedmiotu umowy,</w:t>
      </w:r>
    </w:p>
    <w:p>
      <w:pPr>
        <w:pStyle w:val="Normal"/>
        <w:numPr>
          <w:ilvl w:val="0"/>
          <w:numId w:val="2"/>
        </w:numPr>
        <w:tabs>
          <w:tab w:val="left" w:pos="720" w:leader="none"/>
        </w:tabs>
        <w:jc w:val="both"/>
        <w:rPr>
          <w:color w:val="000000"/>
        </w:rPr>
      </w:pPr>
      <w:r>
        <w:rPr>
          <w:rFonts w:cs="Tahoma"/>
          <w:color w:val="000000"/>
        </w:rPr>
        <w:t xml:space="preserve">Zgłoszenie wykonanych robót do odbioru Wykonawcy na 2 dni przed terminem ich zakończenia, </w:t>
      </w:r>
    </w:p>
    <w:p>
      <w:pPr>
        <w:pStyle w:val="Normal"/>
        <w:numPr>
          <w:ilvl w:val="0"/>
          <w:numId w:val="2"/>
        </w:numPr>
        <w:tabs>
          <w:tab w:val="left" w:pos="720" w:leader="none"/>
        </w:tabs>
        <w:jc w:val="both"/>
        <w:rPr>
          <w:color w:val="000000"/>
        </w:rPr>
      </w:pPr>
      <w:r>
        <w:rPr>
          <w:rFonts w:cs="Tahoma"/>
          <w:color w:val="000000"/>
        </w:rPr>
        <w:t>Wykonanie robót dodatkowych do łącznej wysokości 1 % wartości wynagrodzenia</w:t>
      </w:r>
      <w:r>
        <w:rPr>
          <w:rFonts w:cs="Tahoma"/>
          <w:color w:val="FF3300"/>
        </w:rPr>
        <w:t xml:space="preserve"> </w:t>
      </w:r>
      <w:r>
        <w:rPr>
          <w:rFonts w:cs="Tahoma"/>
          <w:color w:val="000000"/>
        </w:rPr>
        <w:t>umownego bez dodatkowego wynagrodzenia na polecenie przedstawiciela Wykonawcy udokumentowanego protokółami konieczności,</w:t>
      </w:r>
    </w:p>
    <w:p>
      <w:pPr>
        <w:pStyle w:val="Normal"/>
        <w:numPr>
          <w:ilvl w:val="0"/>
          <w:numId w:val="2"/>
        </w:numPr>
        <w:tabs>
          <w:tab w:val="left" w:pos="720" w:leader="none"/>
        </w:tabs>
        <w:jc w:val="both"/>
        <w:rPr>
          <w:color w:val="000000"/>
        </w:rPr>
      </w:pPr>
      <w:r>
        <w:rPr>
          <w:rFonts w:cs="Tahoma"/>
          <w:color w:val="000000"/>
        </w:rPr>
        <w:t>Załatwienie formalności wraz ponoszeniem opłat związanych z realizacją zadania,</w:t>
      </w:r>
    </w:p>
    <w:p>
      <w:pPr>
        <w:pStyle w:val="Normal"/>
        <w:numPr>
          <w:ilvl w:val="0"/>
          <w:numId w:val="2"/>
        </w:numPr>
        <w:tabs>
          <w:tab w:val="left" w:pos="720" w:leader="none"/>
        </w:tabs>
        <w:jc w:val="both"/>
        <w:rPr/>
      </w:pPr>
      <w:r>
        <w:rPr>
          <w:rFonts w:cs="Tahoma"/>
          <w:color w:val="000000"/>
        </w:rPr>
        <w:t xml:space="preserve">Złożenie oświadczenia o prawidłowości wykonanych prac i ponoszeniu pełnej    odpowiedzialności za wykonane roboty.   </w:t>
      </w:r>
      <w:r>
        <w:rPr>
          <w:rFonts w:cs="Tahoma"/>
          <w:color w:val="FF3300"/>
        </w:rPr>
        <w:t xml:space="preserve">  </w:t>
      </w:r>
    </w:p>
    <w:p>
      <w:pPr>
        <w:pStyle w:val="Normal"/>
        <w:jc w:val="both"/>
        <w:rPr>
          <w:rFonts w:cs="Tahoma"/>
          <w:color w:val="FF3300"/>
        </w:rPr>
      </w:pPr>
      <w:r>
        <w:rPr>
          <w:rFonts w:cs="Tahoma"/>
          <w:color w:val="FF3300"/>
        </w:rPr>
      </w:r>
    </w:p>
    <w:p>
      <w:pPr>
        <w:pStyle w:val="Normal"/>
        <w:jc w:val="both"/>
        <w:rPr/>
      </w:pPr>
      <w:r>
        <w:rPr>
          <w:rFonts w:cs="Tahoma"/>
          <w:color w:val="FF3300"/>
        </w:rPr>
        <w:t xml:space="preserve">                                                                          </w:t>
      </w:r>
      <w:r>
        <w:rPr>
          <w:rFonts w:cs="Tahoma"/>
          <w:color w:val="000000"/>
        </w:rPr>
        <w:t xml:space="preserve">  </w:t>
      </w:r>
      <w:r>
        <w:rPr>
          <w:rFonts w:cs="Tahoma"/>
          <w:color w:val="000000"/>
        </w:rPr>
        <w:t xml:space="preserve">§ 5 </w:t>
      </w:r>
    </w:p>
    <w:p>
      <w:pPr>
        <w:pStyle w:val="Normal"/>
        <w:jc w:val="both"/>
        <w:rPr>
          <w:rFonts w:cs="Tahoma"/>
          <w:color w:val="000000"/>
        </w:rPr>
      </w:pPr>
      <w:r>
        <w:rPr>
          <w:rFonts w:cs="Tahoma"/>
          <w:color w:val="000000"/>
        </w:rPr>
      </w:r>
    </w:p>
    <w:p>
      <w:pPr>
        <w:pStyle w:val="Normal"/>
        <w:numPr>
          <w:ilvl w:val="0"/>
          <w:numId w:val="3"/>
        </w:numPr>
        <w:tabs>
          <w:tab w:val="left" w:pos="720" w:leader="none"/>
        </w:tabs>
        <w:jc w:val="both"/>
        <w:rPr/>
      </w:pPr>
      <w:r>
        <w:rPr>
          <w:rFonts w:cs="Tahoma"/>
          <w:color w:val="000000"/>
        </w:rPr>
        <w:t xml:space="preserve">Za wykonanie zlecenia Podwykonawcy przysługiwać będzie wynagrodzenie ryczałtowe podane w przyjętej ofercie w wysokości </w:t>
      </w:r>
      <w:r>
        <w:rPr>
          <w:rFonts w:cs="Tahoma"/>
          <w:b w:val="false"/>
          <w:bCs w:val="false"/>
          <w:color w:val="000000"/>
        </w:rPr>
        <w:t>……………...</w:t>
      </w:r>
      <w:r>
        <w:rPr>
          <w:rFonts w:cs="Tahoma"/>
          <w:b w:val="false"/>
          <w:bCs w:val="false"/>
          <w:color w:val="FF3300"/>
        </w:rPr>
        <w:t xml:space="preserve"> </w:t>
      </w:r>
      <w:r>
        <w:rPr>
          <w:rFonts w:cs="Tahoma"/>
          <w:b/>
          <w:bCs/>
          <w:color w:val="000000"/>
        </w:rPr>
        <w:t>zł netto,</w:t>
      </w:r>
      <w:r>
        <w:rPr>
          <w:rFonts w:cs="Tahoma"/>
          <w:color w:val="000000"/>
        </w:rPr>
        <w:t xml:space="preserve"> + podatek od towarów i usług w wysokości określonej obowiązującymi przepisami, słownie: …………………….. </w:t>
      </w:r>
      <w:r>
        <w:rPr>
          <w:rFonts w:cs="Tahoma"/>
          <w:b w:val="false"/>
          <w:bCs w:val="false"/>
          <w:color w:val="000000"/>
        </w:rPr>
        <w:t>………………………………………………………………………………………... zł netto + podatek od towarów i usług w wysokości określonej obowiązującymi przepisami.</w:t>
      </w:r>
    </w:p>
    <w:p>
      <w:pPr>
        <w:pStyle w:val="Normal"/>
        <w:numPr>
          <w:ilvl w:val="0"/>
          <w:numId w:val="3"/>
        </w:numPr>
        <w:tabs>
          <w:tab w:val="left" w:pos="720" w:leader="none"/>
        </w:tabs>
        <w:jc w:val="both"/>
        <w:rPr/>
      </w:pPr>
      <w:r>
        <w:rPr>
          <w:rFonts w:cs="Tahoma"/>
          <w:color w:val="000000"/>
        </w:rPr>
        <w:t>Cena ryczałtowa obejmuje wszystkie prace niezbędne do całkowitego i efektywnego wykonania przedmiotu umowy. Za roboty niewykonane, choć objęte kosztorysem ofertowym, wynagrodzenie Podwykonawcy nie przysługuje. Za wykonane roboty, niezbędne do prawidłowego funkcjonowania przedmiotu umowy, ale nie objęte kosztorysem ofertowym, wynagrodzenie Podwykonawcy nie przysługuje.</w:t>
      </w:r>
    </w:p>
    <w:p>
      <w:pPr>
        <w:pStyle w:val="Normal"/>
        <w:numPr>
          <w:ilvl w:val="0"/>
          <w:numId w:val="3"/>
        </w:numPr>
        <w:tabs>
          <w:tab w:val="left" w:pos="720" w:leader="none"/>
        </w:tabs>
        <w:spacing w:lineRule="auto" w:line="240"/>
        <w:jc w:val="both"/>
        <w:rPr/>
      </w:pPr>
      <w:r>
        <w:rPr>
          <w:rFonts w:cs="Tahoma"/>
          <w:color w:val="000000"/>
        </w:rPr>
        <w:t xml:space="preserve">Rozliczenie wykonanych robót nastąpi na podstawie  faktury VAT wystawionej przez Podwykonawcę, w oparciu o przyjęty przez Wykonawcę protokół odbioru końcowego robót. </w:t>
      </w:r>
    </w:p>
    <w:p>
      <w:pPr>
        <w:pStyle w:val="Normal"/>
        <w:numPr>
          <w:ilvl w:val="0"/>
          <w:numId w:val="3"/>
        </w:numPr>
        <w:tabs>
          <w:tab w:val="left" w:pos="720" w:leader="none"/>
        </w:tabs>
        <w:jc w:val="both"/>
        <w:rPr/>
      </w:pPr>
      <w:r>
        <w:rPr>
          <w:rFonts w:cs="Tahoma"/>
          <w:color w:val="000000"/>
        </w:rPr>
        <w:t xml:space="preserve">Forma zapłaty faktury – przelew na konto wskazane w fakturze Podwykonawcy w ciągu 21dni licząc od daty dostarczenia Wykonawcy faktury. </w:t>
      </w:r>
      <w:r>
        <w:rPr>
          <w:rFonts w:cs="Tahoma"/>
          <w:color w:val="000000"/>
          <w:sz w:val="24"/>
          <w:szCs w:val="24"/>
        </w:rPr>
        <w:t>Za datę zapłaty należności przyjmuje się datę</w:t>
      </w:r>
      <w:r>
        <w:rPr>
          <w:rFonts w:cs="Tahoma"/>
          <w:i/>
          <w:color w:val="000000"/>
          <w:sz w:val="24"/>
          <w:szCs w:val="24"/>
        </w:rPr>
        <w:t xml:space="preserve"> </w:t>
      </w:r>
      <w:r>
        <w:rPr>
          <w:rFonts w:cs="Tahoma"/>
          <w:color w:val="000000"/>
          <w:sz w:val="24"/>
          <w:szCs w:val="24"/>
        </w:rPr>
        <w:t>obciążenia konta bankowego Wykonawcy.</w:t>
      </w:r>
    </w:p>
    <w:p>
      <w:pPr>
        <w:pStyle w:val="Normal"/>
        <w:tabs>
          <w:tab w:val="left" w:pos="720" w:leader="none"/>
        </w:tabs>
        <w:jc w:val="both"/>
        <w:rPr>
          <w:rFonts w:cs="Tahoma"/>
          <w:color w:val="000000"/>
          <w:sz w:val="24"/>
          <w:szCs w:val="24"/>
        </w:rPr>
      </w:pPr>
      <w:r>
        <w:rPr>
          <w:rFonts w:cs="Tahoma"/>
          <w:color w:val="000000"/>
          <w:sz w:val="24"/>
          <w:szCs w:val="24"/>
        </w:rPr>
      </w:r>
    </w:p>
    <w:p>
      <w:pPr>
        <w:pStyle w:val="Tretekstu"/>
        <w:shd w:val="clear" w:fill="FFFFFF"/>
        <w:spacing w:lineRule="auto" w:line="240"/>
        <w:ind w:left="180" w:right="0" w:hanging="180"/>
        <w:jc w:val="center"/>
        <w:rPr/>
      </w:pPr>
      <w:r>
        <w:rPr>
          <w:rFonts w:cs="Tahoma"/>
          <w:b w:val="false"/>
          <w:bCs w:val="false"/>
          <w:sz w:val="24"/>
          <w:szCs w:val="24"/>
        </w:rPr>
        <w:t xml:space="preserve">  </w:t>
      </w:r>
      <w:r>
        <w:rPr>
          <w:rFonts w:cs="Tahoma"/>
          <w:b w:val="false"/>
          <w:bCs w:val="false"/>
          <w:sz w:val="24"/>
          <w:szCs w:val="24"/>
        </w:rPr>
        <w:t xml:space="preserve">§ 6 </w:t>
      </w:r>
      <w:r>
        <w:rPr>
          <w:rFonts w:cs="Tahoma"/>
          <w:b/>
          <w:sz w:val="24"/>
          <w:szCs w:val="24"/>
        </w:rPr>
        <w:t xml:space="preserve">   </w:t>
      </w:r>
      <w:r>
        <w:rPr>
          <w:rFonts w:cs="Tahoma"/>
          <w:color w:val="FF0000"/>
          <w:sz w:val="24"/>
          <w:szCs w:val="24"/>
        </w:rPr>
        <w:t xml:space="preserve"> </w:t>
      </w:r>
    </w:p>
    <w:p>
      <w:pPr>
        <w:pStyle w:val="Normal"/>
        <w:shd w:val="clear" w:fill="FFFFFF"/>
        <w:tabs>
          <w:tab w:val="left" w:pos="720" w:leader="none"/>
        </w:tabs>
        <w:spacing w:lineRule="auto" w:line="240"/>
        <w:jc w:val="both"/>
        <w:rPr/>
      </w:pPr>
      <w:r>
        <w:rPr>
          <w:rFonts w:eastAsia="Tahoma" w:cs="Tahoma"/>
          <w:color w:val="000000"/>
          <w:sz w:val="24"/>
          <w:szCs w:val="24"/>
        </w:rPr>
        <w:t xml:space="preserve">      </w:t>
      </w:r>
      <w:r>
        <w:rPr>
          <w:rFonts w:cs="Tahoma"/>
          <w:color w:val="000000"/>
          <w:sz w:val="24"/>
          <w:szCs w:val="24"/>
        </w:rPr>
        <w:t>Strony dopuszczają możliwość zmiany zawartej już umowy w przypadku</w:t>
      </w:r>
      <w:r>
        <w:rPr>
          <w:rFonts w:cs="Tahoma"/>
          <w:sz w:val="24"/>
          <w:szCs w:val="24"/>
        </w:rPr>
        <w:t xml:space="preserve">:  </w:t>
      </w:r>
    </w:p>
    <w:p>
      <w:pPr>
        <w:pStyle w:val="Tretekstu"/>
        <w:numPr>
          <w:ilvl w:val="0"/>
          <w:numId w:val="7"/>
        </w:numPr>
        <w:tabs>
          <w:tab w:val="left" w:pos="900" w:leader="none"/>
        </w:tabs>
        <w:spacing w:lineRule="auto" w:line="240"/>
        <w:jc w:val="both"/>
        <w:rPr>
          <w:rFonts w:ascii="Times New Roman" w:hAnsi="Times New Roman"/>
          <w:sz w:val="24"/>
          <w:szCs w:val="24"/>
        </w:rPr>
      </w:pPr>
      <w:r>
        <w:rPr>
          <w:rFonts w:cs="Tahoma"/>
          <w:color w:val="000000"/>
          <w:sz w:val="24"/>
          <w:szCs w:val="24"/>
        </w:rPr>
        <w:t xml:space="preserve">rezygnacji </w:t>
      </w:r>
      <w:r>
        <w:rPr>
          <w:rFonts w:cs="Tahoma"/>
          <w:sz w:val="24"/>
          <w:szCs w:val="24"/>
        </w:rPr>
        <w:t>z wykonania pełnego zakresu rzeczowego objętego zamówieniem w  przypadku zaistnienia okoliczności, w których zbędne będzie wykonanie danej części zamówienia (roboty zaniechane), wr</w:t>
      </w:r>
      <w:r>
        <w:rPr>
          <w:rFonts w:cs="Tahoma"/>
          <w:color w:val="000000"/>
          <w:sz w:val="24"/>
          <w:szCs w:val="24"/>
        </w:rPr>
        <w:t>az z jednoczesnym związanym z tym obniżeniem</w:t>
      </w:r>
      <w:r>
        <w:rPr>
          <w:rFonts w:eastAsia="Tahoma" w:cs="Tahoma"/>
          <w:color w:val="000000"/>
          <w:sz w:val="24"/>
          <w:szCs w:val="24"/>
          <w:shd w:fill="FFFFFF" w:val="clear"/>
        </w:rPr>
        <w:t xml:space="preserve"> </w:t>
      </w:r>
      <w:r>
        <w:rPr>
          <w:rFonts w:cs="Tahoma"/>
          <w:color w:val="000000"/>
          <w:sz w:val="24"/>
          <w:szCs w:val="24"/>
        </w:rPr>
        <w:t>wynagrodzenia,</w:t>
      </w:r>
    </w:p>
    <w:p>
      <w:pPr>
        <w:pStyle w:val="Tretekstu"/>
        <w:numPr>
          <w:ilvl w:val="0"/>
          <w:numId w:val="7"/>
        </w:numPr>
        <w:tabs>
          <w:tab w:val="left" w:pos="900" w:leader="none"/>
        </w:tabs>
        <w:spacing w:lineRule="auto" w:line="240"/>
        <w:jc w:val="both"/>
        <w:rPr>
          <w:rFonts w:ascii="Times New Roman" w:hAnsi="Times New Roman"/>
          <w:sz w:val="24"/>
          <w:szCs w:val="24"/>
        </w:rPr>
      </w:pPr>
      <w:r>
        <w:rPr>
          <w:rFonts w:cs="Tahoma"/>
          <w:sz w:val="24"/>
          <w:szCs w:val="24"/>
        </w:rPr>
        <w:t>wprowadzenia robót zamiennych podczas realizacji umowy wynikających z</w:t>
      </w:r>
      <w:r>
        <w:rPr>
          <w:rFonts w:eastAsia="Tahoma" w:cs="Tahoma"/>
          <w:sz w:val="24"/>
          <w:szCs w:val="24"/>
        </w:rPr>
        <w:t xml:space="preserve"> </w:t>
      </w:r>
      <w:r>
        <w:rPr>
          <w:rFonts w:cs="Tahoma"/>
          <w:sz w:val="24"/>
          <w:szCs w:val="24"/>
        </w:rPr>
        <w:t>rzeczywistych warunków występujących w trakcie realizacji prac – nie powodujących</w:t>
      </w:r>
      <w:r>
        <w:rPr>
          <w:rFonts w:eastAsia="Tahoma" w:cs="Tahoma"/>
          <w:sz w:val="24"/>
          <w:szCs w:val="24"/>
        </w:rPr>
        <w:t xml:space="preserve"> </w:t>
      </w:r>
      <w:r>
        <w:rPr>
          <w:rFonts w:cs="Tahoma"/>
          <w:sz w:val="24"/>
          <w:szCs w:val="24"/>
        </w:rPr>
        <w:t xml:space="preserve">zwiększenia ceny umownej,    </w:t>
      </w:r>
    </w:p>
    <w:p>
      <w:pPr>
        <w:pStyle w:val="Tretekstu"/>
        <w:numPr>
          <w:ilvl w:val="0"/>
          <w:numId w:val="7"/>
        </w:numPr>
        <w:tabs>
          <w:tab w:val="left" w:pos="900" w:leader="none"/>
        </w:tabs>
        <w:spacing w:lineRule="auto" w:line="240"/>
        <w:jc w:val="both"/>
        <w:rPr/>
      </w:pPr>
      <w:r>
        <w:rPr>
          <w:rFonts w:cs="Tahoma"/>
          <w:sz w:val="24"/>
          <w:szCs w:val="24"/>
        </w:rPr>
        <w:t>wystąpienia wyjątkowo niesprzyjających warunków atmosferycznych</w:t>
      </w:r>
      <w:r>
        <w:rPr>
          <w:rFonts w:eastAsia="Tahoma" w:cs="Tahoma"/>
          <w:sz w:val="24"/>
          <w:szCs w:val="24"/>
        </w:rPr>
        <w:t xml:space="preserve"> </w:t>
      </w:r>
      <w:r>
        <w:rPr>
          <w:rFonts w:cs="Tahoma"/>
          <w:sz w:val="24"/>
          <w:szCs w:val="24"/>
        </w:rPr>
        <w:t>uniemożliwiających wykonanie robót zgodnie z zasadami wiedzy technicznej, obowiązującymi przepisami i warunkami, technologicznymi określonymi dla robót, które miałyby być wykonane w tych warunkach,</w:t>
      </w:r>
    </w:p>
    <w:p>
      <w:pPr>
        <w:pStyle w:val="Tretekstu"/>
        <w:numPr>
          <w:ilvl w:val="0"/>
          <w:numId w:val="7"/>
        </w:numPr>
        <w:shd w:val="clear" w:fill="FFFFFF"/>
        <w:tabs>
          <w:tab w:val="left" w:pos="720" w:leader="none"/>
          <w:tab w:val="left" w:pos="900" w:leader="none"/>
        </w:tabs>
        <w:spacing w:lineRule="auto" w:line="240"/>
        <w:jc w:val="both"/>
        <w:rPr/>
      </w:pPr>
      <w:r>
        <w:rPr>
          <w:rFonts w:cs="Tahoma"/>
          <w:sz w:val="24"/>
          <w:szCs w:val="24"/>
        </w:rPr>
        <w:t>zmiany przez władzę ustawodawczą procentowej stawki podatku VAT</w:t>
      </w:r>
    </w:p>
    <w:p>
      <w:pPr>
        <w:pStyle w:val="Tretekstu"/>
        <w:numPr>
          <w:ilvl w:val="0"/>
          <w:numId w:val="7"/>
        </w:numPr>
        <w:tabs>
          <w:tab w:val="left" w:pos="900" w:leader="none"/>
        </w:tabs>
        <w:spacing w:lineRule="auto" w:line="240"/>
        <w:jc w:val="both"/>
        <w:rPr/>
      </w:pPr>
      <w:r>
        <w:rPr>
          <w:rFonts w:cs="Tahoma"/>
          <w:sz w:val="24"/>
          <w:szCs w:val="24"/>
        </w:rPr>
        <w:t>jeżeli zajdzie konieczność zlecenia wykonania robót dodatkowych potwierdzonych protokółem konieczności sporządzonym przez przedstawiciela Wykonawcy i Podwykonawcy, Podwykonawca wyceni te roboty na podstawie cen jednostkowych przyjętych przy kalkulacji w kosztorysie ofertowym. Jeżeli roboty wynikające z poleceń wprowadzonych postanowieniami § 6 niniejszej umowy, nie odpowiadają opisowi pozycji w kosztorysie ofertowym, Podwykonawca powinien przedłożyć do akceptacji Wykonawcy kalkulacje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Wykonawcę.</w:t>
      </w:r>
      <w:r>
        <w:rPr>
          <w:rFonts w:cs="Tahoma" w:ascii="Tahoma" w:hAnsi="Tahoma"/>
          <w:sz w:val="22"/>
          <w:szCs w:val="22"/>
        </w:rPr>
        <w:t xml:space="preserve"> </w:t>
      </w:r>
      <w:r>
        <w:rPr>
          <w:rFonts w:cs="Tahoma"/>
          <w:sz w:val="24"/>
          <w:szCs w:val="24"/>
        </w:rPr>
        <w:t>Ponadto do kalkulacji robót dodatkowych należy przyjąć czynniki cenotwórcze podane w ofercie:</w:t>
      </w:r>
    </w:p>
    <w:p>
      <w:pPr>
        <w:pStyle w:val="Normal"/>
        <w:numPr>
          <w:ilvl w:val="0"/>
          <w:numId w:val="0"/>
        </w:numPr>
        <w:spacing w:lineRule="atLeast" w:line="24"/>
        <w:jc w:val="both"/>
        <w:rPr>
          <w:rFonts w:ascii="Times New Roman" w:hAnsi="Times New Roman"/>
          <w:sz w:val="24"/>
          <w:szCs w:val="24"/>
        </w:rPr>
      </w:pPr>
      <w:r>
        <w:rPr>
          <w:rFonts w:cs="Tahoma"/>
          <w:sz w:val="24"/>
          <w:szCs w:val="24"/>
        </w:rPr>
        <w:t>- stawka roboczogodziny – …….</w:t>
      </w:r>
      <w:r>
        <w:rPr>
          <w:rFonts w:cs="Tahoma"/>
          <w:b/>
          <w:bCs/>
          <w:sz w:val="24"/>
          <w:szCs w:val="24"/>
        </w:rPr>
        <w:t xml:space="preserve"> </w:t>
      </w:r>
      <w:r>
        <w:rPr>
          <w:rFonts w:cs="Tahoma"/>
          <w:b w:val="false"/>
          <w:bCs w:val="false"/>
          <w:sz w:val="24"/>
          <w:szCs w:val="24"/>
        </w:rPr>
        <w:t>zł,</w:t>
      </w:r>
    </w:p>
    <w:p>
      <w:pPr>
        <w:pStyle w:val="Normal"/>
        <w:numPr>
          <w:ilvl w:val="0"/>
          <w:numId w:val="0"/>
        </w:numPr>
        <w:spacing w:lineRule="atLeast" w:line="24"/>
        <w:jc w:val="both"/>
        <w:rPr>
          <w:rFonts w:ascii="Times New Roman" w:hAnsi="Times New Roman"/>
          <w:sz w:val="24"/>
          <w:szCs w:val="24"/>
        </w:rPr>
      </w:pPr>
      <w:r>
        <w:rPr>
          <w:rFonts w:cs="Tahoma"/>
          <w:sz w:val="24"/>
          <w:szCs w:val="24"/>
        </w:rPr>
        <w:t>- koszty pośrednie Kp(od R+S) – ….…</w:t>
      </w:r>
      <w:r>
        <w:rPr>
          <w:rFonts w:cs="Tahoma"/>
          <w:b w:val="false"/>
          <w:bCs w:val="false"/>
          <w:sz w:val="24"/>
          <w:szCs w:val="24"/>
        </w:rPr>
        <w:t xml:space="preserve"> %,</w:t>
      </w:r>
    </w:p>
    <w:p>
      <w:pPr>
        <w:pStyle w:val="Normal"/>
        <w:numPr>
          <w:ilvl w:val="0"/>
          <w:numId w:val="0"/>
        </w:numPr>
        <w:spacing w:lineRule="atLeast" w:line="24"/>
        <w:jc w:val="both"/>
        <w:rPr>
          <w:rFonts w:ascii="Times New Roman" w:hAnsi="Times New Roman"/>
          <w:sz w:val="24"/>
          <w:szCs w:val="24"/>
        </w:rPr>
      </w:pPr>
      <w:r>
        <w:rPr>
          <w:rFonts w:cs="Tahoma"/>
          <w:sz w:val="24"/>
          <w:szCs w:val="24"/>
        </w:rPr>
        <w:t xml:space="preserve">- koszty zakupu (od M) – ….… </w:t>
      </w:r>
      <w:r>
        <w:rPr>
          <w:rFonts w:cs="Tahoma"/>
          <w:b w:val="false"/>
          <w:bCs w:val="false"/>
          <w:sz w:val="24"/>
          <w:szCs w:val="24"/>
        </w:rPr>
        <w:t>%,</w:t>
      </w:r>
    </w:p>
    <w:p>
      <w:pPr>
        <w:pStyle w:val="Tretekstu"/>
        <w:numPr>
          <w:ilvl w:val="0"/>
          <w:numId w:val="0"/>
        </w:numPr>
        <w:tabs>
          <w:tab w:val="left" w:pos="900" w:leader="none"/>
        </w:tabs>
        <w:spacing w:lineRule="auto" w:line="240"/>
        <w:jc w:val="both"/>
        <w:rPr>
          <w:rFonts w:ascii="Times New Roman" w:hAnsi="Times New Roman"/>
          <w:sz w:val="24"/>
          <w:szCs w:val="24"/>
        </w:rPr>
      </w:pPr>
      <w:r>
        <w:rPr>
          <w:rFonts w:cs="Tahoma"/>
          <w:sz w:val="24"/>
          <w:szCs w:val="24"/>
        </w:rPr>
        <w:t xml:space="preserve">- zysk (R+S+Kp) – ……. </w:t>
      </w:r>
      <w:r>
        <w:rPr>
          <w:rFonts w:cs="Tahoma"/>
          <w:b w:val="false"/>
          <w:bCs w:val="false"/>
          <w:sz w:val="24"/>
          <w:szCs w:val="24"/>
        </w:rPr>
        <w:t xml:space="preserve">% </w:t>
      </w:r>
      <w:r>
        <w:rPr>
          <w:sz w:val="24"/>
          <w:szCs w:val="24"/>
        </w:rPr>
        <w:t xml:space="preserve">  </w:t>
      </w:r>
      <w:r>
        <w:rPr/>
        <w:t xml:space="preserve">       </w:t>
      </w:r>
    </w:p>
    <w:p>
      <w:pPr>
        <w:pStyle w:val="Tretekstu"/>
        <w:numPr>
          <w:ilvl w:val="0"/>
          <w:numId w:val="7"/>
        </w:numPr>
        <w:shd w:val="clear" w:fill="FFFFFF"/>
        <w:tabs>
          <w:tab w:val="left" w:pos="720" w:leader="none"/>
          <w:tab w:val="left" w:pos="900" w:leader="none"/>
        </w:tabs>
        <w:spacing w:lineRule="auto" w:line="240"/>
        <w:jc w:val="both"/>
        <w:rPr>
          <w:rFonts w:ascii="Times New Roman" w:hAnsi="Times New Roman"/>
          <w:sz w:val="24"/>
          <w:szCs w:val="24"/>
        </w:rPr>
      </w:pPr>
      <w:r>
        <w:rPr>
          <w:rFonts w:cs="Tahoma"/>
          <w:sz w:val="24"/>
          <w:szCs w:val="24"/>
        </w:rPr>
        <w:t>Jeżeli cena jednostkowa przedłożona przez Podwykonawcę do akceptacji Wykonawcy będzie skalkulowana niezgodnie z postanowieniami ust. 5, Wykonawca wprowadzi korektę ceny opartą na własnych wyliczeniach.</w:t>
      </w:r>
      <w:r>
        <w:rPr>
          <w:rFonts w:eastAsia="Tahoma" w:cs="Tahoma"/>
          <w:sz w:val="24"/>
          <w:szCs w:val="24"/>
        </w:rPr>
        <w:t xml:space="preserve">    </w:t>
      </w:r>
    </w:p>
    <w:p>
      <w:pPr>
        <w:pStyle w:val="Normal"/>
        <w:numPr>
          <w:ilvl w:val="0"/>
          <w:numId w:val="7"/>
        </w:numPr>
        <w:shd w:val="clear" w:fill="FFFFFF"/>
        <w:tabs>
          <w:tab w:val="left" w:pos="720" w:leader="none"/>
          <w:tab w:val="left" w:pos="900" w:leader="none"/>
        </w:tabs>
        <w:spacing w:lineRule="atLeast" w:line="24"/>
        <w:jc w:val="both"/>
        <w:rPr>
          <w:rFonts w:ascii="Times New Roman" w:hAnsi="Times New Roman"/>
          <w:sz w:val="24"/>
          <w:szCs w:val="24"/>
        </w:rPr>
      </w:pPr>
      <w:r>
        <w:rPr>
          <w:rFonts w:eastAsia="Tahoma" w:cs="Tahoma"/>
          <w:sz w:val="24"/>
          <w:szCs w:val="24"/>
        </w:rPr>
        <w:t>Podwykonawca powinien dokonać wyliczeń cen, o których mowa w ust. 5 oraz przedstawić Wykonawcy do akceptacji wysokość wynagrodzenia wynikającą ze zmian przed rozpoczęciem robót wynikających z tych zmian.</w:t>
      </w:r>
    </w:p>
    <w:p>
      <w:pPr>
        <w:pStyle w:val="Normal"/>
        <w:numPr>
          <w:ilvl w:val="0"/>
          <w:numId w:val="7"/>
        </w:numPr>
        <w:shd w:val="clear" w:fill="FFFFFF"/>
        <w:tabs>
          <w:tab w:val="left" w:pos="720" w:leader="none"/>
          <w:tab w:val="left" w:pos="900" w:leader="none"/>
        </w:tabs>
        <w:spacing w:lineRule="atLeast" w:line="24"/>
        <w:jc w:val="both"/>
        <w:rPr>
          <w:rFonts w:ascii="Times New Roman" w:hAnsi="Times New Roman"/>
          <w:sz w:val="24"/>
          <w:szCs w:val="24"/>
        </w:rPr>
      </w:pPr>
      <w:r>
        <w:rPr>
          <w:rFonts w:eastAsia="Tahoma" w:cs="Tahoma"/>
          <w:sz w:val="24"/>
          <w:szCs w:val="24"/>
        </w:rPr>
        <w:t>Podwykonawca nie może żądać od Wykonawcy podwyższenia wynagrodzenia, jeżeli wykonał prace dodatkowe bez uzyskania jego zgody na wykonanie tych prac.</w:t>
      </w:r>
    </w:p>
    <w:p>
      <w:pPr>
        <w:pStyle w:val="Normal"/>
        <w:numPr>
          <w:ilvl w:val="0"/>
          <w:numId w:val="7"/>
        </w:numPr>
        <w:shd w:val="clear" w:fill="FFFFFF"/>
        <w:tabs>
          <w:tab w:val="left" w:pos="720" w:leader="none"/>
          <w:tab w:val="left" w:pos="900" w:leader="none"/>
        </w:tabs>
        <w:spacing w:lineRule="atLeast" w:line="24"/>
        <w:jc w:val="both"/>
        <w:rPr>
          <w:rFonts w:ascii="Times New Roman" w:hAnsi="Times New Roman" w:cs="Tahoma"/>
          <w:sz w:val="24"/>
          <w:szCs w:val="24"/>
        </w:rPr>
      </w:pPr>
      <w:r>
        <w:rPr>
          <w:rFonts w:eastAsia="Tahoma" w:cs="Tahoma"/>
          <w:sz w:val="24"/>
          <w:szCs w:val="24"/>
        </w:rPr>
        <w:t>Bez uprzedniej zgody Wykonawcy mogą być wykonane tylko roboty, których natychmiastowe wykonanie jest niezbędne ze względu na bezpieczeństwo lub konieczność zapobieżenia awarii. Podstawą podjęcia takich robót jest sporządzony przez Podwykonawcę protokół konieczności przedstawiony Wykonawcy. Wykonawca pokrywa wartość tych robót jeżeli konieczność ich wykonania nie powstała z przyczyny, za które odpowiada Podwykonawca.</w:t>
      </w:r>
    </w:p>
    <w:p>
      <w:pPr>
        <w:pStyle w:val="Normal"/>
        <w:shd w:val="clear" w:fill="FFFFFF"/>
        <w:spacing w:lineRule="auto" w:line="240"/>
        <w:jc w:val="both"/>
        <w:rPr>
          <w:rFonts w:ascii="Times New Roman" w:hAnsi="Times New Roman"/>
          <w:sz w:val="24"/>
          <w:szCs w:val="24"/>
        </w:rPr>
      </w:pPr>
      <w:r>
        <w:rPr>
          <w:rFonts w:cs="Tahoma"/>
          <w:color w:val="000000"/>
          <w:sz w:val="24"/>
          <w:szCs w:val="24"/>
        </w:rPr>
        <w:t>W następstwie w/w może ulec zmianie: uzgodnione pierwotnie wynagrodzenie</w:t>
      </w:r>
      <w:r>
        <w:rPr>
          <w:rFonts w:cs="Tahoma"/>
          <w:sz w:val="24"/>
          <w:szCs w:val="24"/>
        </w:rPr>
        <w:t xml:space="preserve"> lub umowny termin wykonania zamówienia.  </w:t>
      </w:r>
    </w:p>
    <w:p>
      <w:pPr>
        <w:pStyle w:val="Normal"/>
        <w:shd w:val="clear" w:fill="FFFFFF"/>
        <w:spacing w:lineRule="auto" w:line="240"/>
        <w:jc w:val="both"/>
        <w:rPr>
          <w:rFonts w:ascii="Times New Roman" w:hAnsi="Times New Roman" w:cs="Tahoma"/>
          <w:sz w:val="24"/>
          <w:szCs w:val="24"/>
        </w:rPr>
      </w:pPr>
      <w:r>
        <w:rPr>
          <w:rFonts w:cs="Tahoma"/>
          <w:sz w:val="24"/>
          <w:szCs w:val="24"/>
        </w:rPr>
        <w:t>Warunki zmian:</w:t>
      </w:r>
    </w:p>
    <w:p>
      <w:pPr>
        <w:pStyle w:val="Normal"/>
        <w:shd w:val="clear" w:fill="FFFFFF"/>
        <w:spacing w:lineRule="auto" w:line="240"/>
        <w:jc w:val="both"/>
        <w:rPr>
          <w:rFonts w:ascii="Times New Roman" w:hAnsi="Times New Roman"/>
          <w:sz w:val="24"/>
          <w:szCs w:val="24"/>
        </w:rPr>
      </w:pPr>
      <w:r>
        <w:rPr>
          <w:rFonts w:eastAsia="Tahoma" w:cs="Tahoma"/>
          <w:sz w:val="24"/>
          <w:szCs w:val="24"/>
        </w:rPr>
        <w:t>•</w:t>
      </w:r>
      <w:r>
        <w:rPr>
          <w:rFonts w:cs="Tahoma"/>
          <w:sz w:val="24"/>
          <w:szCs w:val="24"/>
        </w:rPr>
        <w:tab/>
        <w:t>inicjowanie zmian – na wniosek Wykonawcy lub Podwykonawcy,</w:t>
      </w:r>
    </w:p>
    <w:p>
      <w:pPr>
        <w:pStyle w:val="Normal"/>
        <w:shd w:val="clear" w:fill="FFFFFF"/>
        <w:spacing w:lineRule="auto" w:line="240"/>
        <w:jc w:val="both"/>
        <w:rPr>
          <w:rFonts w:ascii="Times New Roman" w:hAnsi="Times New Roman"/>
          <w:sz w:val="24"/>
          <w:szCs w:val="24"/>
        </w:rPr>
      </w:pPr>
      <w:r>
        <w:rPr>
          <w:rFonts w:eastAsia="Tahoma" w:cs="Tahoma"/>
          <w:sz w:val="24"/>
          <w:szCs w:val="24"/>
        </w:rPr>
        <w:t>•</w:t>
      </w:r>
      <w:r>
        <w:rPr>
          <w:rFonts w:cs="Tahoma"/>
          <w:sz w:val="24"/>
          <w:szCs w:val="24"/>
        </w:rPr>
        <w:tab/>
        <w:t xml:space="preserve">uzasadnienie zmian – prawidłowa realizacja przedmiotu umowy, </w:t>
      </w:r>
    </w:p>
    <w:p>
      <w:pPr>
        <w:pStyle w:val="Normal"/>
        <w:shd w:val="clear" w:fill="FFFFFF"/>
        <w:spacing w:lineRule="auto" w:line="240"/>
        <w:jc w:val="both"/>
        <w:rPr>
          <w:rFonts w:ascii="Times New Roman" w:hAnsi="Times New Roman"/>
          <w:sz w:val="24"/>
          <w:szCs w:val="24"/>
        </w:rPr>
      </w:pPr>
      <w:r>
        <w:rPr>
          <w:rFonts w:eastAsia="Tahoma" w:cs="Tahoma"/>
          <w:sz w:val="24"/>
          <w:szCs w:val="24"/>
        </w:rPr>
        <w:t>•</w:t>
      </w:r>
      <w:r>
        <w:rPr>
          <w:rFonts w:cs="Tahoma"/>
          <w:sz w:val="24"/>
          <w:szCs w:val="24"/>
        </w:rPr>
        <w:tab/>
        <w:t xml:space="preserve">zmiana postanowień zawartych w umowie może nastąpić za zgodą obu stron wyrażoną </w:t>
      </w:r>
    </w:p>
    <w:p>
      <w:pPr>
        <w:pStyle w:val="Normal"/>
        <w:shd w:val="clear" w:fill="FFFFFF"/>
        <w:tabs>
          <w:tab w:val="left" w:pos="720" w:leader="none"/>
        </w:tabs>
        <w:spacing w:lineRule="auto" w:line="240"/>
        <w:jc w:val="both"/>
        <w:rPr>
          <w:rFonts w:ascii="Times New Roman" w:hAnsi="Times New Roman" w:cs="Tahoma"/>
          <w:sz w:val="24"/>
          <w:szCs w:val="24"/>
        </w:rPr>
      </w:pPr>
      <w:r>
        <w:rPr>
          <w:rFonts w:cs="Tahoma"/>
          <w:color w:val="000000"/>
          <w:sz w:val="24"/>
          <w:szCs w:val="24"/>
        </w:rPr>
        <w:t>w formie pisemnej pod rygorem nieważności.</w:t>
      </w:r>
    </w:p>
    <w:p>
      <w:pPr>
        <w:pStyle w:val="Normal"/>
        <w:tabs>
          <w:tab w:val="left" w:pos="720" w:leader="none"/>
        </w:tabs>
        <w:spacing w:lineRule="auto" w:line="240"/>
        <w:jc w:val="both"/>
        <w:rPr>
          <w:rFonts w:cs="Tahoma"/>
          <w:color w:val="000000"/>
        </w:rPr>
      </w:pPr>
      <w:r>
        <w:rPr>
          <w:rFonts w:cs="Tahoma"/>
          <w:color w:val="000000"/>
        </w:rPr>
      </w:r>
    </w:p>
    <w:p>
      <w:pPr>
        <w:pStyle w:val="Normal"/>
        <w:jc w:val="both"/>
        <w:rPr/>
      </w:pPr>
      <w:r>
        <w:rPr>
          <w:rFonts w:cs="Tahoma"/>
          <w:color w:val="FF3300"/>
        </w:rPr>
        <w:t xml:space="preserve">                                                                          </w:t>
      </w:r>
      <w:r>
        <w:rPr>
          <w:rFonts w:cs="Tahoma"/>
          <w:color w:val="000000"/>
        </w:rPr>
        <w:t xml:space="preserve">   </w:t>
      </w:r>
      <w:r>
        <w:rPr>
          <w:rFonts w:cs="Tahoma"/>
          <w:color w:val="000000"/>
        </w:rPr>
        <w:t>§ 7</w:t>
      </w:r>
    </w:p>
    <w:p>
      <w:pPr>
        <w:pStyle w:val="Normal"/>
        <w:jc w:val="both"/>
        <w:rPr>
          <w:rFonts w:cs="Tahoma"/>
          <w:color w:val="000000"/>
        </w:rPr>
      </w:pPr>
      <w:r>
        <w:rPr>
          <w:rFonts w:cs="Tahoma"/>
          <w:color w:val="000000"/>
        </w:rPr>
      </w:r>
    </w:p>
    <w:p>
      <w:pPr>
        <w:pStyle w:val="Normal"/>
        <w:numPr>
          <w:ilvl w:val="0"/>
          <w:numId w:val="4"/>
        </w:numPr>
        <w:tabs>
          <w:tab w:val="left" w:pos="720" w:leader="none"/>
        </w:tabs>
        <w:jc w:val="both"/>
        <w:rPr>
          <w:color w:val="FF3300"/>
        </w:rPr>
      </w:pPr>
      <w:r>
        <w:rPr>
          <w:rFonts w:cs="Tahoma"/>
          <w:color w:val="000000"/>
        </w:rPr>
        <w:t>Podwykonawca zapłaci Wykonawcy kary umowne za:</w:t>
      </w:r>
    </w:p>
    <w:p>
      <w:pPr>
        <w:pStyle w:val="Normal"/>
        <w:ind w:left="720" w:hanging="0"/>
        <w:jc w:val="both"/>
        <w:rPr>
          <w:color w:val="FF3300"/>
        </w:rPr>
      </w:pPr>
      <w:r>
        <w:rPr>
          <w:rFonts w:cs="Tahoma"/>
          <w:color w:val="000000"/>
        </w:rPr>
        <w:t xml:space="preserve">a.   odstąpienie od umowy z powodu okoliczności, leżących po stronie Podwykonawcy    </w:t>
      </w:r>
    </w:p>
    <w:p>
      <w:pPr>
        <w:pStyle w:val="Normal"/>
        <w:ind w:left="720" w:hanging="0"/>
        <w:jc w:val="both"/>
        <w:rPr>
          <w:rFonts w:cs="Tahoma"/>
        </w:rPr>
      </w:pPr>
      <w:r>
        <w:rPr>
          <w:rFonts w:cs="Tahoma"/>
          <w:color w:val="000000"/>
        </w:rPr>
        <w:t xml:space="preserve">     </w:t>
      </w:r>
      <w:r>
        <w:rPr>
          <w:rFonts w:cs="Tahoma"/>
          <w:color w:val="000000"/>
        </w:rPr>
        <w:t>w wysokości 10 % wynagrodzenia umownego,</w:t>
      </w:r>
    </w:p>
    <w:p>
      <w:pPr>
        <w:pStyle w:val="Normal"/>
        <w:ind w:left="720" w:hanging="0"/>
        <w:jc w:val="both"/>
        <w:rPr>
          <w:color w:val="000000"/>
        </w:rPr>
      </w:pPr>
      <w:r>
        <w:rPr>
          <w:rFonts w:cs="Tahoma"/>
          <w:color w:val="000000"/>
        </w:rPr>
        <w:t>b. zwłokę w przekazaniu przedmiotu umowy – w wysokości 1 % wynagrodzenia   umownego za każdy dzień zwłoki,</w:t>
      </w:r>
    </w:p>
    <w:p>
      <w:pPr>
        <w:pStyle w:val="Normal"/>
        <w:ind w:left="720" w:hanging="0"/>
        <w:jc w:val="both"/>
        <w:rPr>
          <w:rFonts w:cs="Tahoma"/>
        </w:rPr>
      </w:pPr>
      <w:r>
        <w:rPr>
          <w:rFonts w:cs="Tahoma"/>
          <w:color w:val="000000"/>
        </w:rPr>
        <w:t>c.  zwłokę w usunięciu wad stwierdzonych przy odbiorze i w okresie gwarancyjnym– w wysokości 1 %  wynagrodzenia  umownego za każdy dzień zwłoki,</w:t>
      </w:r>
    </w:p>
    <w:p>
      <w:pPr>
        <w:pStyle w:val="Normal"/>
        <w:numPr>
          <w:ilvl w:val="0"/>
          <w:numId w:val="4"/>
        </w:numPr>
        <w:tabs>
          <w:tab w:val="left" w:pos="720" w:leader="none"/>
        </w:tabs>
        <w:jc w:val="both"/>
        <w:rPr>
          <w:color w:val="000000"/>
        </w:rPr>
      </w:pPr>
      <w:r>
        <w:rPr>
          <w:rFonts w:cs="Tahoma"/>
          <w:color w:val="000000"/>
        </w:rPr>
        <w:t>Wykonawca zapłaci Podwykonawcy karę umowną za odstąpienie od umowy z powodu okoliczności, leżących po stronie Wykonawcy w wysokości 10 % wynagrodzenia umownego.</w:t>
      </w:r>
    </w:p>
    <w:p>
      <w:pPr>
        <w:pStyle w:val="Normal"/>
        <w:numPr>
          <w:ilvl w:val="0"/>
          <w:numId w:val="4"/>
        </w:numPr>
        <w:tabs>
          <w:tab w:val="left" w:pos="720" w:leader="none"/>
        </w:tabs>
        <w:jc w:val="both"/>
        <w:rPr>
          <w:rFonts w:cs="Tahoma"/>
        </w:rPr>
      </w:pPr>
      <w:r>
        <w:rPr>
          <w:rFonts w:cs="Tahoma"/>
          <w:color w:val="000000"/>
        </w:rPr>
        <w:t>Strony mogą dochodzić na zasadach ogólnych odszkodowania przewyższającego wysokość kar umownych.</w:t>
      </w:r>
    </w:p>
    <w:p>
      <w:pPr>
        <w:pStyle w:val="Normal"/>
        <w:numPr>
          <w:ilvl w:val="0"/>
          <w:numId w:val="4"/>
        </w:numPr>
        <w:tabs>
          <w:tab w:val="left" w:pos="720" w:leader="none"/>
        </w:tabs>
        <w:jc w:val="both"/>
        <w:rPr>
          <w:color w:val="000000"/>
        </w:rPr>
      </w:pPr>
      <w:r>
        <w:rPr>
          <w:rFonts w:cs="Tahoma"/>
          <w:color w:val="000000"/>
        </w:rPr>
        <w:t>Za opóźnienie w zapłacie wynagrodzenia Podwykonawca ma prawo naliczyć ustawowe odsetki.</w:t>
      </w:r>
    </w:p>
    <w:p>
      <w:pPr>
        <w:pStyle w:val="Normal"/>
        <w:tabs>
          <w:tab w:val="left" w:pos="720" w:leader="none"/>
        </w:tabs>
        <w:jc w:val="both"/>
        <w:rPr>
          <w:rFonts w:cs="Tahoma"/>
          <w:color w:val="FF3300"/>
        </w:rPr>
      </w:pPr>
      <w:r>
        <w:rPr>
          <w:rFonts w:cs="Tahoma"/>
          <w:color w:val="FF3300"/>
        </w:rPr>
      </w:r>
    </w:p>
    <w:p>
      <w:pPr>
        <w:pStyle w:val="Normal"/>
        <w:tabs>
          <w:tab w:val="left" w:pos="720" w:leader="none"/>
        </w:tabs>
        <w:ind w:hanging="0"/>
        <w:jc w:val="center"/>
        <w:rPr>
          <w:rFonts w:cs="Tahoma"/>
          <w:color w:val="000000"/>
        </w:rPr>
      </w:pPr>
      <w:r>
        <w:rPr>
          <w:rFonts w:cs="Tahoma"/>
          <w:color w:val="000000"/>
        </w:rPr>
      </w:r>
    </w:p>
    <w:p>
      <w:pPr>
        <w:pStyle w:val="Normal"/>
        <w:tabs>
          <w:tab w:val="left" w:pos="720" w:leader="none"/>
        </w:tabs>
        <w:ind w:hanging="0"/>
        <w:jc w:val="center"/>
        <w:rPr>
          <w:rFonts w:cs="Tahoma"/>
          <w:color w:val="000000"/>
        </w:rPr>
      </w:pPr>
      <w:r>
        <w:rPr>
          <w:rFonts w:cs="Tahoma"/>
          <w:color w:val="000000"/>
        </w:rPr>
      </w:r>
    </w:p>
    <w:p>
      <w:pPr>
        <w:pStyle w:val="Normal"/>
        <w:tabs>
          <w:tab w:val="left" w:pos="720" w:leader="none"/>
        </w:tabs>
        <w:ind w:hanging="0"/>
        <w:jc w:val="center"/>
        <w:rPr/>
      </w:pPr>
      <w:r>
        <w:rPr>
          <w:rFonts w:cs="Tahoma"/>
          <w:color w:val="000000"/>
        </w:rPr>
        <w:t xml:space="preserve"> </w:t>
      </w:r>
      <w:r>
        <w:rPr>
          <w:rFonts w:cs="Tahoma"/>
          <w:color w:val="000000"/>
        </w:rPr>
        <w:t xml:space="preserve">§ 8  </w:t>
      </w:r>
    </w:p>
    <w:p>
      <w:pPr>
        <w:pStyle w:val="Normal"/>
        <w:tabs>
          <w:tab w:val="left" w:pos="720" w:leader="none"/>
        </w:tabs>
        <w:ind w:hanging="0"/>
        <w:jc w:val="center"/>
        <w:rPr>
          <w:rFonts w:cs="Tahoma"/>
          <w:color w:val="000000"/>
        </w:rPr>
      </w:pPr>
      <w:r>
        <w:rPr>
          <w:rFonts w:cs="Tahoma"/>
          <w:color w:val="000000"/>
        </w:rPr>
      </w:r>
    </w:p>
    <w:p>
      <w:pPr>
        <w:pStyle w:val="Normal"/>
        <w:ind w:left="720" w:hanging="0"/>
        <w:jc w:val="both"/>
        <w:rPr/>
      </w:pPr>
      <w:r>
        <w:rPr>
          <w:rFonts w:cs="Tahoma"/>
          <w:color w:val="000000"/>
        </w:rPr>
        <w:t>1. Wykonawcy przysługuje prawo odstąpienia od umowy, bez kar umownych :</w:t>
      </w:r>
    </w:p>
    <w:p>
      <w:pPr>
        <w:pStyle w:val="Normal"/>
        <w:ind w:left="720" w:hanging="0"/>
        <w:jc w:val="both"/>
        <w:rPr>
          <w:color w:val="000000"/>
        </w:rPr>
      </w:pPr>
      <w:r>
        <w:rPr>
          <w:rFonts w:cs="Tahoma"/>
          <w:color w:val="000000"/>
        </w:rPr>
        <w:t xml:space="preserve">  </w:t>
      </w:r>
      <w:r>
        <w:rPr>
          <w:rFonts w:cs="Tahoma"/>
          <w:color w:val="000000"/>
        </w:rPr>
        <w:t xml:space="preserve">-  w razie wystąpienia istotnej zmiany okoliczności powodującej, że wykonanie umowy nie  </w:t>
      </w:r>
    </w:p>
    <w:p>
      <w:pPr>
        <w:pStyle w:val="Normal"/>
        <w:ind w:left="720" w:hanging="0"/>
        <w:jc w:val="both"/>
        <w:rPr>
          <w:color w:val="000000"/>
        </w:rPr>
      </w:pPr>
      <w:r>
        <w:rPr>
          <w:rFonts w:cs="Tahoma"/>
          <w:color w:val="000000"/>
        </w:rPr>
        <w:t xml:space="preserve">     </w:t>
      </w:r>
      <w:r>
        <w:rPr>
          <w:rFonts w:cs="Tahoma"/>
          <w:color w:val="000000"/>
        </w:rPr>
        <w:t xml:space="preserve">leży w interesie publicznym, czego nie można było przewidzieć w chwili zawarcia  </w:t>
      </w:r>
    </w:p>
    <w:p>
      <w:pPr>
        <w:pStyle w:val="Normal"/>
        <w:ind w:left="720" w:hanging="0"/>
        <w:jc w:val="both"/>
        <w:rPr>
          <w:color w:val="000000"/>
        </w:rPr>
      </w:pPr>
      <w:r>
        <w:rPr>
          <w:rFonts w:cs="Tahoma"/>
          <w:color w:val="000000"/>
        </w:rPr>
        <w:t xml:space="preserve">     </w:t>
      </w:r>
      <w:r>
        <w:rPr>
          <w:rFonts w:cs="Tahoma"/>
          <w:color w:val="000000"/>
        </w:rPr>
        <w:t>umowy,</w:t>
      </w:r>
    </w:p>
    <w:p>
      <w:pPr>
        <w:pStyle w:val="Normal"/>
        <w:ind w:left="720" w:hanging="0"/>
        <w:jc w:val="both"/>
        <w:rPr>
          <w:color w:val="000000"/>
        </w:rPr>
      </w:pPr>
      <w:r>
        <w:rPr>
          <w:rFonts w:cs="Tahoma"/>
          <w:color w:val="000000"/>
        </w:rPr>
        <w:t xml:space="preserve">  </w:t>
      </w:r>
      <w:r>
        <w:rPr>
          <w:rFonts w:cs="Tahoma"/>
          <w:color w:val="000000"/>
        </w:rPr>
        <w:t>- zostanie ogłoszona upadłość lub likwidacja przedsiębiorstwa Podwykonawcy,</w:t>
      </w:r>
    </w:p>
    <w:p>
      <w:pPr>
        <w:pStyle w:val="Normal"/>
        <w:ind w:left="720" w:hanging="0"/>
        <w:jc w:val="both"/>
        <w:rPr>
          <w:color w:val="000000"/>
        </w:rPr>
      </w:pPr>
      <w:r>
        <w:rPr>
          <w:rFonts w:cs="Tahoma"/>
          <w:color w:val="000000"/>
        </w:rPr>
        <w:t xml:space="preserve">  </w:t>
      </w:r>
      <w:r>
        <w:rPr>
          <w:rFonts w:cs="Tahoma"/>
          <w:color w:val="000000"/>
        </w:rPr>
        <w:t>- Podwykonawca nie rozpoczął w ustalonym terminie robót bez uzasadnionych przyczyn</w:t>
      </w:r>
    </w:p>
    <w:p>
      <w:pPr>
        <w:pStyle w:val="Normal"/>
        <w:ind w:left="720" w:hanging="0"/>
        <w:jc w:val="both"/>
        <w:rPr>
          <w:color w:val="000000"/>
        </w:rPr>
      </w:pPr>
      <w:r>
        <w:rPr>
          <w:rFonts w:cs="Tahoma"/>
          <w:color w:val="000000"/>
        </w:rPr>
        <w:t xml:space="preserve">    </w:t>
      </w:r>
      <w:r>
        <w:rPr>
          <w:rFonts w:cs="Tahoma"/>
          <w:color w:val="000000"/>
        </w:rPr>
        <w:t xml:space="preserve">oraz nie kontynuuje ich pomimo wezwania Wykonawcy złożonego na piśmie, </w:t>
      </w:r>
    </w:p>
    <w:p>
      <w:pPr>
        <w:pStyle w:val="Normal"/>
        <w:ind w:left="720" w:hanging="0"/>
        <w:jc w:val="both"/>
        <w:rPr>
          <w:color w:val="000000"/>
        </w:rPr>
      </w:pPr>
      <w:r>
        <w:rPr>
          <w:rFonts w:cs="Tahoma"/>
          <w:color w:val="000000"/>
        </w:rPr>
        <w:t xml:space="preserve">  </w:t>
      </w:r>
      <w:r>
        <w:rPr>
          <w:rFonts w:cs="Tahoma"/>
          <w:color w:val="000000"/>
        </w:rPr>
        <w:t>- Podwykonawca nie przestrzega zobowiązań podjętych w Ofercie.</w:t>
      </w:r>
    </w:p>
    <w:p>
      <w:pPr>
        <w:pStyle w:val="Normal"/>
        <w:ind w:left="720" w:hanging="0"/>
        <w:jc w:val="both"/>
        <w:rPr>
          <w:color w:val="000000"/>
        </w:rPr>
      </w:pPr>
      <w:r>
        <w:rPr>
          <w:rFonts w:cs="Tahoma"/>
          <w:color w:val="000000"/>
        </w:rPr>
        <w:t>2.  Podwykonawcy przysługuje prawo do odstąpienia od umowy, bez kar umownych, jeżeli:</w:t>
      </w:r>
    </w:p>
    <w:p>
      <w:pPr>
        <w:pStyle w:val="Normal"/>
        <w:ind w:left="720" w:hanging="0"/>
        <w:jc w:val="both"/>
        <w:rPr>
          <w:color w:val="000000"/>
        </w:rPr>
      </w:pPr>
      <w:r>
        <w:rPr>
          <w:rFonts w:cs="Tahoma"/>
          <w:color w:val="000000"/>
        </w:rPr>
        <w:t xml:space="preserve">     </w:t>
      </w:r>
      <w:r>
        <w:rPr>
          <w:rFonts w:cs="Tahoma"/>
          <w:color w:val="000000"/>
        </w:rPr>
        <w:t xml:space="preserve">Wykonawca zawiadomi Podwykonawcę, iż wobec zaistnienia uprzednio nie </w:t>
      </w:r>
    </w:p>
    <w:p>
      <w:pPr>
        <w:pStyle w:val="Normal"/>
        <w:ind w:left="720" w:hanging="0"/>
        <w:jc w:val="both"/>
        <w:rPr>
          <w:color w:val="000000"/>
        </w:rPr>
      </w:pPr>
      <w:r>
        <w:rPr>
          <w:rFonts w:cs="Tahoma"/>
          <w:color w:val="000000"/>
        </w:rPr>
        <w:t xml:space="preserve">     </w:t>
      </w:r>
      <w:r>
        <w:rPr>
          <w:rFonts w:cs="Tahoma"/>
          <w:color w:val="000000"/>
        </w:rPr>
        <w:t xml:space="preserve">przewidzianych okoliczności, w szczególności braku środków finansowych w budżecie   </w:t>
      </w:r>
    </w:p>
    <w:p>
      <w:pPr>
        <w:pStyle w:val="Normal"/>
        <w:ind w:left="720" w:hanging="0"/>
        <w:jc w:val="both"/>
        <w:rPr>
          <w:color w:val="000000"/>
        </w:rPr>
      </w:pPr>
      <w:r>
        <w:rPr>
          <w:rFonts w:cs="Tahoma"/>
          <w:color w:val="000000"/>
        </w:rPr>
        <w:t xml:space="preserve">     </w:t>
      </w:r>
      <w:r>
        <w:rPr>
          <w:rFonts w:cs="Tahoma"/>
          <w:color w:val="000000"/>
        </w:rPr>
        <w:t xml:space="preserve">na realizację remontu, nie będzie mógł spełnić swoich zobowiązań umownych wobec </w:t>
      </w:r>
    </w:p>
    <w:p>
      <w:pPr>
        <w:pStyle w:val="Normal"/>
        <w:ind w:left="720" w:hanging="0"/>
        <w:jc w:val="both"/>
        <w:rPr>
          <w:color w:val="000000"/>
        </w:rPr>
      </w:pPr>
      <w:r>
        <w:rPr>
          <w:rFonts w:cs="Tahoma"/>
          <w:color w:val="000000"/>
        </w:rPr>
        <w:t xml:space="preserve">     </w:t>
      </w:r>
      <w:r>
        <w:rPr>
          <w:rFonts w:cs="Tahoma"/>
          <w:color w:val="000000"/>
        </w:rPr>
        <w:t>Podwykonawcy.</w:t>
      </w:r>
    </w:p>
    <w:p>
      <w:pPr>
        <w:pStyle w:val="Normal"/>
        <w:ind w:left="720" w:hanging="0"/>
        <w:jc w:val="both"/>
        <w:rPr>
          <w:color w:val="000000"/>
        </w:rPr>
      </w:pPr>
      <w:r>
        <w:rPr>
          <w:rFonts w:cs="Tahoma"/>
          <w:color w:val="000000"/>
        </w:rPr>
        <w:t>3.  Odstąpienie od umowy powinno nastąpić w formie pisemnej pod rygorem nieważności.</w:t>
      </w:r>
    </w:p>
    <w:p>
      <w:pPr>
        <w:pStyle w:val="Normal"/>
        <w:ind w:left="720" w:hanging="0"/>
        <w:jc w:val="both"/>
        <w:rPr>
          <w:color w:val="000000"/>
        </w:rPr>
      </w:pPr>
      <w:r>
        <w:rPr>
          <w:rFonts w:cs="Tahoma"/>
          <w:color w:val="000000"/>
        </w:rPr>
        <w:t xml:space="preserve">4.  W przypadku odstąpienia od umowy Podwykonawca ma prawo żądać wynagrodzenia       </w:t>
      </w:r>
    </w:p>
    <w:p>
      <w:pPr>
        <w:pStyle w:val="Normal"/>
        <w:tabs>
          <w:tab w:val="left" w:pos="720" w:leader="none"/>
        </w:tabs>
        <w:ind w:left="720" w:hanging="0"/>
        <w:jc w:val="both"/>
        <w:rPr>
          <w:color w:val="000000"/>
        </w:rPr>
      </w:pPr>
      <w:r>
        <w:rPr>
          <w:rFonts w:cs="Tahoma"/>
          <w:color w:val="FF3300"/>
        </w:rPr>
        <w:t xml:space="preserve">     </w:t>
      </w:r>
      <w:r>
        <w:rPr>
          <w:rFonts w:cs="Tahoma"/>
          <w:color w:val="000000"/>
        </w:rPr>
        <w:t xml:space="preserve">należnego za roboty wykonane do dnia odstąpienia od umowy. </w:t>
      </w:r>
    </w:p>
    <w:p>
      <w:pPr>
        <w:pStyle w:val="Normal"/>
        <w:tabs>
          <w:tab w:val="left" w:pos="720" w:leader="none"/>
        </w:tabs>
        <w:jc w:val="both"/>
        <w:rPr>
          <w:rFonts w:cs="Tahoma"/>
          <w:color w:val="FF3300"/>
        </w:rPr>
      </w:pPr>
      <w:r>
        <w:rPr>
          <w:rFonts w:cs="Tahoma"/>
          <w:color w:val="FF3300"/>
        </w:rPr>
      </w:r>
    </w:p>
    <w:p>
      <w:pPr>
        <w:pStyle w:val="Normal"/>
        <w:jc w:val="both"/>
        <w:rPr>
          <w:color w:val="000000"/>
        </w:rPr>
      </w:pPr>
      <w:r>
        <w:rPr>
          <w:rFonts w:cs="Tahoma"/>
          <w:color w:val="000000"/>
        </w:rPr>
        <w:t xml:space="preserve">                                                                             </w:t>
      </w:r>
      <w:r>
        <w:rPr>
          <w:rFonts w:cs="Tahoma"/>
          <w:color w:val="000000"/>
        </w:rPr>
        <w:t xml:space="preserve">§ 9   </w:t>
      </w:r>
    </w:p>
    <w:p>
      <w:pPr>
        <w:pStyle w:val="Normal"/>
        <w:jc w:val="both"/>
        <w:rPr>
          <w:rFonts w:cs="Tahoma"/>
        </w:rPr>
      </w:pPr>
      <w:r>
        <w:rPr>
          <w:rFonts w:cs="Tahoma"/>
        </w:rPr>
      </w:r>
    </w:p>
    <w:p>
      <w:pPr>
        <w:pStyle w:val="Normal"/>
        <w:numPr>
          <w:ilvl w:val="0"/>
          <w:numId w:val="5"/>
        </w:numPr>
        <w:tabs>
          <w:tab w:val="left" w:pos="720" w:leader="none"/>
        </w:tabs>
        <w:jc w:val="both"/>
        <w:rPr>
          <w:color w:val="FF3300"/>
        </w:rPr>
      </w:pPr>
      <w:r>
        <w:rPr>
          <w:rFonts w:cs="Tahoma"/>
          <w:color w:val="000000"/>
        </w:rPr>
        <w:t>Strony zgodnie postanawiają, iż wszelkie ewentualne spory będą rozstrzygane polubownie, zaś w przypadku braku zgodności, właściwym do rozstrzygnięcia sporów będzie sąd rzeczowo właściwy dla siedziby Wykonawcy.</w:t>
      </w:r>
    </w:p>
    <w:p>
      <w:pPr>
        <w:pStyle w:val="Normal"/>
        <w:numPr>
          <w:ilvl w:val="0"/>
          <w:numId w:val="5"/>
        </w:numPr>
        <w:tabs>
          <w:tab w:val="left" w:pos="720" w:leader="none"/>
        </w:tabs>
        <w:jc w:val="both"/>
        <w:rPr>
          <w:color w:val="000000"/>
        </w:rPr>
      </w:pPr>
      <w:r>
        <w:rPr>
          <w:rFonts w:cs="Tahoma"/>
          <w:color w:val="000000"/>
          <w:sz w:val="24"/>
          <w:szCs w:val="24"/>
        </w:rPr>
        <w:t xml:space="preserve">W sprawach nie uregulowanych w niniejszej umowie zastosowanie mają ogólnie obowiązujące przepisy, a w szczególności: Kodeksu Cywilnego. </w:t>
        <w:tab/>
      </w:r>
    </w:p>
    <w:p>
      <w:pPr>
        <w:pStyle w:val="Normal"/>
        <w:numPr>
          <w:ilvl w:val="0"/>
          <w:numId w:val="0"/>
        </w:numPr>
        <w:tabs>
          <w:tab w:val="left" w:pos="720" w:leader="none"/>
        </w:tabs>
        <w:jc w:val="both"/>
        <w:rPr>
          <w:rFonts w:cs="Tahoma"/>
        </w:rPr>
      </w:pPr>
      <w:r>
        <w:rPr>
          <w:rFonts w:cs="Tahoma"/>
        </w:rPr>
      </w:r>
    </w:p>
    <w:p>
      <w:pPr>
        <w:pStyle w:val="Normal"/>
        <w:numPr>
          <w:ilvl w:val="0"/>
          <w:numId w:val="0"/>
        </w:numPr>
        <w:tabs>
          <w:tab w:val="left" w:pos="720" w:leader="none"/>
        </w:tabs>
        <w:jc w:val="both"/>
        <w:rPr/>
      </w:pPr>
      <w:r>
        <w:rPr>
          <w:rFonts w:cs="Tahoma"/>
          <w:color w:val="000000"/>
        </w:rPr>
        <w:t xml:space="preserve">                                                           </w:t>
      </w:r>
      <w:r>
        <w:rPr>
          <w:rFonts w:cs="Tahoma"/>
          <w:color w:val="000000"/>
          <w:sz w:val="24"/>
          <w:szCs w:val="24"/>
        </w:rPr>
        <w:t xml:space="preserve">                 </w:t>
      </w:r>
      <w:r>
        <w:rPr>
          <w:rFonts w:cs="Tahoma"/>
          <w:color w:val="000000"/>
          <w:sz w:val="24"/>
          <w:szCs w:val="24"/>
        </w:rPr>
        <w:t xml:space="preserve">§ 10  </w:t>
      </w:r>
    </w:p>
    <w:p>
      <w:pPr>
        <w:pStyle w:val="Normal"/>
        <w:numPr>
          <w:ilvl w:val="0"/>
          <w:numId w:val="0"/>
        </w:numPr>
        <w:tabs>
          <w:tab w:val="left" w:pos="720" w:leader="none"/>
        </w:tabs>
        <w:jc w:val="both"/>
        <w:rPr>
          <w:rFonts w:ascii="Times New Roman" w:hAnsi="Times New Roman" w:cs="Tahoma"/>
          <w:color w:val="000000"/>
          <w:sz w:val="24"/>
          <w:szCs w:val="24"/>
        </w:rPr>
      </w:pPr>
      <w:r>
        <w:rPr>
          <w:rFonts w:cs="Tahoma"/>
          <w:color w:val="000000"/>
          <w:sz w:val="24"/>
          <w:szCs w:val="24"/>
        </w:rPr>
      </w:r>
    </w:p>
    <w:p>
      <w:pPr>
        <w:pStyle w:val="WWTekstpodstawowy2"/>
        <w:widowControl w:val="false"/>
        <w:numPr>
          <w:ilvl w:val="0"/>
          <w:numId w:val="8"/>
        </w:numPr>
        <w:tabs>
          <w:tab w:val="left" w:pos="577" w:leader="none"/>
        </w:tabs>
        <w:suppressAutoHyphens w:val="false"/>
        <w:rPr>
          <w:rFonts w:ascii="Times New Roman" w:hAnsi="Times New Roman" w:cs="Tahoma"/>
          <w:sz w:val="24"/>
          <w:szCs w:val="24"/>
        </w:rPr>
      </w:pPr>
      <w:r>
        <w:rPr>
          <w:rFonts w:cs="Tahoma"/>
          <w:sz w:val="24"/>
          <w:szCs w:val="24"/>
        </w:rPr>
        <w:t xml:space="preserve">Adresy stron dla korespondencji: </w:t>
      </w:r>
    </w:p>
    <w:p>
      <w:pPr>
        <w:pStyle w:val="WWTekstpodstawowy2"/>
        <w:widowControl w:val="false"/>
        <w:tabs>
          <w:tab w:val="left" w:pos="1154" w:leader="none"/>
        </w:tabs>
        <w:suppressAutoHyphens w:val="false"/>
        <w:ind w:left="577" w:right="0" w:hanging="0"/>
        <w:rPr>
          <w:rFonts w:ascii="Times New Roman" w:hAnsi="Times New Roman"/>
          <w:sz w:val="24"/>
          <w:szCs w:val="24"/>
        </w:rPr>
      </w:pPr>
      <w:r>
        <w:rPr>
          <w:rFonts w:cs="Tahoma"/>
          <w:b/>
          <w:bCs/>
          <w:color w:val="000000"/>
          <w:sz w:val="24"/>
          <w:szCs w:val="24"/>
        </w:rPr>
        <w:t>Wykonawca</w:t>
      </w:r>
      <w:r>
        <w:rPr>
          <w:rFonts w:cs="Tahoma"/>
          <w:b/>
          <w:bCs/>
          <w:sz w:val="24"/>
          <w:szCs w:val="24"/>
        </w:rPr>
        <w:t xml:space="preserve">: </w:t>
      </w:r>
      <w:r>
        <w:rPr>
          <w:rFonts w:cs="Tahoma"/>
          <w:sz w:val="24"/>
          <w:szCs w:val="24"/>
        </w:rPr>
        <w:t xml:space="preserve">Towarzystwo  Budownictwa  Społecznego  „KARO”  Sp. z o.o., 11-700 Mrągowo,  ul. Kopernika  11, </w:t>
      </w:r>
    </w:p>
    <w:p>
      <w:pPr>
        <w:pStyle w:val="WWTekstpodstawowy2"/>
        <w:widowControl w:val="false"/>
        <w:tabs>
          <w:tab w:val="left" w:pos="1154" w:leader="none"/>
        </w:tabs>
        <w:suppressAutoHyphens w:val="false"/>
        <w:ind w:left="577" w:right="0" w:hanging="0"/>
        <w:jc w:val="both"/>
        <w:rPr/>
      </w:pPr>
      <w:r>
        <w:rPr>
          <w:rFonts w:cs="Tahoma"/>
          <w:b/>
          <w:bCs/>
          <w:color w:val="000000"/>
          <w:sz w:val="24"/>
          <w:szCs w:val="24"/>
        </w:rPr>
        <w:t>Podwykonawca:</w:t>
      </w:r>
      <w:r>
        <w:rPr>
          <w:rFonts w:eastAsia="Tahoma" w:cs="Tahoma"/>
          <w:b/>
          <w:bCs/>
          <w:color w:val="000000"/>
          <w:sz w:val="24"/>
          <w:szCs w:val="24"/>
        </w:rPr>
        <w:t xml:space="preserve"> </w:t>
      </w:r>
      <w:r>
        <w:rPr>
          <w:rFonts w:eastAsia="Tahoma" w:cs="Tahoma"/>
          <w:b w:val="false"/>
          <w:bCs w:val="false"/>
          <w:color w:val="000000"/>
          <w:sz w:val="24"/>
          <w:szCs w:val="24"/>
          <w:lang w:val="pl-PL"/>
        </w:rPr>
        <w:t>……………………………………………………………………………..</w:t>
      </w:r>
    </w:p>
    <w:p>
      <w:pPr>
        <w:pStyle w:val="WWTekstpodstawowy2"/>
        <w:widowControl w:val="false"/>
        <w:tabs>
          <w:tab w:val="left" w:pos="1154" w:leader="none"/>
        </w:tabs>
        <w:suppressAutoHyphens w:val="false"/>
        <w:ind w:left="577" w:right="0" w:hanging="0"/>
        <w:jc w:val="both"/>
        <w:rPr>
          <w:rFonts w:ascii="Times New Roman" w:hAnsi="Times New Roman" w:eastAsia="Tahoma" w:cs="Tahoma"/>
          <w:b w:val="false"/>
          <w:b w:val="false"/>
          <w:bCs w:val="false"/>
          <w:color w:val="000000"/>
          <w:sz w:val="24"/>
          <w:szCs w:val="24"/>
          <w:lang w:val="pl-PL"/>
        </w:rPr>
      </w:pPr>
      <w:r>
        <w:rPr>
          <w:rFonts w:eastAsia="Tahoma" w:cs="Tahoma"/>
          <w:b w:val="false"/>
          <w:bCs w:val="false"/>
          <w:color w:val="000000"/>
          <w:sz w:val="24"/>
          <w:szCs w:val="24"/>
          <w:lang w:val="pl-PL"/>
        </w:rPr>
      </w:r>
    </w:p>
    <w:p>
      <w:pPr>
        <w:pStyle w:val="WWTekstpodstawowy2"/>
        <w:widowControl w:val="false"/>
        <w:tabs>
          <w:tab w:val="left" w:pos="1154" w:leader="none"/>
        </w:tabs>
        <w:suppressAutoHyphens w:val="false"/>
        <w:ind w:left="577" w:right="0" w:hanging="0"/>
        <w:jc w:val="both"/>
        <w:rPr>
          <w:rFonts w:ascii="Times New Roman" w:hAnsi="Times New Roman"/>
          <w:color w:val="000000"/>
          <w:sz w:val="24"/>
          <w:szCs w:val="24"/>
        </w:rPr>
      </w:pPr>
      <w:r>
        <w:rPr>
          <w:rFonts w:eastAsia="Tahoma" w:cs="Tahoma"/>
          <w:b w:val="false"/>
          <w:bCs w:val="false"/>
          <w:color w:val="000000"/>
          <w:sz w:val="24"/>
          <w:szCs w:val="24"/>
          <w:lang w:val="pl-PL"/>
        </w:rPr>
        <w:t>………………………………………………………………………………………………</w:t>
      </w:r>
      <w:r>
        <w:rPr>
          <w:rFonts w:eastAsia="Tahoma" w:cs="Tahoma"/>
          <w:b w:val="false"/>
          <w:bCs w:val="false"/>
          <w:color w:val="000000"/>
          <w:sz w:val="24"/>
          <w:szCs w:val="24"/>
          <w:lang w:val="pl-PL"/>
        </w:rPr>
        <w:t>...</w:t>
      </w:r>
    </w:p>
    <w:p>
      <w:pPr>
        <w:pStyle w:val="Normal"/>
        <w:jc w:val="both"/>
        <w:rPr/>
      </w:pPr>
      <w:r>
        <w:rPr>
          <w:rFonts w:cs="Tahoma"/>
          <w:color w:val="FF3300"/>
        </w:rPr>
        <w:tab/>
        <w:t xml:space="preserve">   </w:t>
      </w:r>
      <w:r>
        <w:rPr>
          <w:rFonts w:cs="Tahoma"/>
          <w:color w:val="000000"/>
        </w:rPr>
        <w:t xml:space="preserve">  </w:t>
      </w:r>
      <w:r>
        <w:rPr>
          <w:rFonts w:cs="Tahoma"/>
          <w:color w:val="FF3300"/>
        </w:rPr>
        <w:t xml:space="preserve">   </w:t>
      </w:r>
    </w:p>
    <w:p>
      <w:pPr>
        <w:pStyle w:val="Normal"/>
        <w:jc w:val="both"/>
        <w:rPr/>
      </w:pPr>
      <w:r>
        <w:rPr>
          <w:rFonts w:cs="Tahoma"/>
          <w:color w:val="FF3300"/>
        </w:rPr>
        <w:t xml:space="preserve">                                                                     </w:t>
      </w:r>
      <w:r>
        <w:rPr>
          <w:rFonts w:cs="Tahoma"/>
          <w:color w:val="000000"/>
        </w:rPr>
        <w:t xml:space="preserve">       </w:t>
      </w:r>
      <w:r>
        <w:rPr>
          <w:rFonts w:cs="Tahoma"/>
          <w:color w:val="000000"/>
        </w:rPr>
        <w:t xml:space="preserve">§ 11 </w:t>
      </w:r>
    </w:p>
    <w:p>
      <w:pPr>
        <w:pStyle w:val="Normal"/>
        <w:jc w:val="both"/>
        <w:rPr>
          <w:rFonts w:cs="Tahoma"/>
          <w:color w:val="000000"/>
        </w:rPr>
      </w:pPr>
      <w:r>
        <w:rPr>
          <w:rFonts w:cs="Tahoma"/>
          <w:color w:val="000000"/>
        </w:rPr>
      </w:r>
    </w:p>
    <w:p>
      <w:pPr>
        <w:pStyle w:val="Normal"/>
        <w:jc w:val="both"/>
        <w:rPr>
          <w:color w:val="FF3300"/>
        </w:rPr>
      </w:pPr>
      <w:r>
        <w:rPr>
          <w:rFonts w:cs="Tahoma"/>
          <w:color w:val="000000"/>
        </w:rPr>
        <w:t>Wszelkie polecenia wydawane Podwykonawcy przez Wykonawcę jak również zapytania                   i odpowiedzi dotyczące realizacji niniejszej umowy wymagają formy pisemnej.</w:t>
      </w:r>
    </w:p>
    <w:p>
      <w:pPr>
        <w:pStyle w:val="Normal"/>
        <w:jc w:val="both"/>
        <w:rPr/>
      </w:pPr>
      <w:r>
        <w:rPr>
          <w:rFonts w:cs="Tahoma"/>
          <w:color w:val="000000"/>
        </w:rPr>
        <w:t xml:space="preserve">                                                                         </w:t>
      </w:r>
    </w:p>
    <w:p>
      <w:pPr>
        <w:pStyle w:val="Normal"/>
        <w:jc w:val="both"/>
        <w:rPr/>
      </w:pPr>
      <w:r>
        <w:rPr>
          <w:rFonts w:cs="Tahoma"/>
          <w:color w:val="000000"/>
        </w:rPr>
        <w:t xml:space="preserve">                                                                            </w:t>
      </w:r>
      <w:r>
        <w:rPr>
          <w:rFonts w:cs="Tahoma"/>
          <w:color w:val="000000"/>
        </w:rPr>
        <w:t xml:space="preserve">§ 12 </w:t>
      </w:r>
    </w:p>
    <w:p>
      <w:pPr>
        <w:pStyle w:val="Normal"/>
        <w:jc w:val="both"/>
        <w:rPr>
          <w:rFonts w:cs="Tahoma"/>
          <w:color w:val="000000"/>
        </w:rPr>
      </w:pPr>
      <w:r>
        <w:rPr>
          <w:rFonts w:cs="Tahoma"/>
          <w:color w:val="000000"/>
        </w:rPr>
      </w:r>
    </w:p>
    <w:p>
      <w:pPr>
        <w:pStyle w:val="Normal"/>
        <w:jc w:val="both"/>
        <w:rPr/>
      </w:pPr>
      <w:r>
        <w:rPr>
          <w:rFonts w:cs="Tahoma"/>
          <w:color w:val="000000"/>
        </w:rPr>
        <w:t xml:space="preserve">Podwykonawca </w:t>
      </w:r>
      <w:r>
        <w:rPr>
          <w:rFonts w:cs="Tahoma"/>
          <w:b/>
          <w:bCs/>
          <w:color w:val="000000"/>
        </w:rPr>
        <w:t>udziela na wykonane roboty gwarancji jakości na okres 36 miesięcy</w:t>
      </w:r>
      <w:r>
        <w:rPr>
          <w:rFonts w:cs="Tahoma"/>
          <w:color w:val="000000"/>
        </w:rPr>
        <w:t xml:space="preserve"> licząc od dnia protokolarnego odbioru ostatecznego robót.</w:t>
      </w:r>
    </w:p>
    <w:p>
      <w:pPr>
        <w:pStyle w:val="Normal"/>
        <w:jc w:val="both"/>
        <w:rPr>
          <w:rFonts w:cs="Tahoma"/>
          <w:color w:val="000000"/>
        </w:rPr>
      </w:pPr>
      <w:r>
        <w:rPr>
          <w:rFonts w:cs="Tahoma"/>
          <w:color w:val="000000"/>
        </w:rPr>
      </w:r>
    </w:p>
    <w:p>
      <w:pPr>
        <w:pStyle w:val="Normal"/>
        <w:spacing w:lineRule="atLeast" w:line="24"/>
        <w:jc w:val="center"/>
        <w:rPr>
          <w:rFonts w:ascii="Tahoma" w:hAnsi="Tahoma" w:cs="Tahoma"/>
          <w:b w:val="false"/>
          <w:b w:val="false"/>
          <w:bCs w:val="false"/>
          <w:sz w:val="22"/>
          <w:szCs w:val="22"/>
        </w:rPr>
      </w:pPr>
      <w:r>
        <w:rPr>
          <w:rFonts w:cs="Tahoma" w:ascii="Tahoma" w:hAnsi="Tahoma"/>
          <w:b w:val="false"/>
          <w:bCs w:val="false"/>
          <w:sz w:val="22"/>
          <w:szCs w:val="22"/>
        </w:rPr>
        <w:t>§ 13</w:t>
      </w:r>
    </w:p>
    <w:p>
      <w:pPr>
        <w:pStyle w:val="Normal"/>
        <w:spacing w:lineRule="atLeast" w:line="24"/>
        <w:jc w:val="both"/>
        <w:rPr/>
      </w:pPr>
      <w:r>
        <w:rPr>
          <w:rFonts w:cs="Tahoma"/>
          <w:sz w:val="24"/>
          <w:szCs w:val="24"/>
        </w:rPr>
        <w:t>1. Podwykonawca zobowiązany jest do zawarcia na własny koszt odpowiednich umów ubezpieczenia z tytułu szkód, które mogą zaistnieć w związku z określonymi zdarzeniami losowymi oraz od odpowiedzialności cywilnej na czas realizacji robót objętych umową.</w:t>
      </w:r>
    </w:p>
    <w:p>
      <w:pPr>
        <w:pStyle w:val="Normal"/>
        <w:spacing w:lineRule="atLeast" w:line="24"/>
        <w:jc w:val="both"/>
        <w:rPr>
          <w:rFonts w:ascii="Times New Roman" w:hAnsi="Times New Roman"/>
          <w:sz w:val="24"/>
          <w:szCs w:val="24"/>
        </w:rPr>
      </w:pPr>
      <w:r>
        <w:rPr>
          <w:rFonts w:cs="Tahoma"/>
          <w:sz w:val="24"/>
          <w:szCs w:val="24"/>
        </w:rPr>
        <w:t xml:space="preserve">2.  </w:t>
      </w:r>
      <w:r>
        <w:rPr>
          <w:rFonts w:cs="Tahoma"/>
          <w:sz w:val="22"/>
          <w:szCs w:val="22"/>
        </w:rPr>
        <w:t xml:space="preserve">Ubezpieczeniu podlegają w szczególności:  </w:t>
      </w:r>
    </w:p>
    <w:p>
      <w:pPr>
        <w:pStyle w:val="Normal"/>
        <w:numPr>
          <w:ilvl w:val="0"/>
          <w:numId w:val="9"/>
        </w:numPr>
        <w:spacing w:lineRule="atLeast" w:line="24"/>
        <w:jc w:val="both"/>
        <w:rPr>
          <w:rFonts w:ascii="Times New Roman" w:hAnsi="Times New Roman" w:cs="Tahoma"/>
          <w:sz w:val="24"/>
          <w:szCs w:val="24"/>
        </w:rPr>
      </w:pPr>
      <w:r>
        <w:rPr>
          <w:rFonts w:cs="Tahoma"/>
          <w:sz w:val="24"/>
          <w:szCs w:val="24"/>
        </w:rPr>
        <w:t>roboty objęte umową, urządzenia oraz wszelkie mienie ruchome związane bezpośrednio z wykonawstwem robót,</w:t>
      </w:r>
    </w:p>
    <w:p>
      <w:pPr>
        <w:pStyle w:val="Normal"/>
        <w:numPr>
          <w:ilvl w:val="0"/>
          <w:numId w:val="9"/>
        </w:numPr>
        <w:spacing w:lineRule="atLeast" w:line="24"/>
        <w:jc w:val="both"/>
        <w:rPr>
          <w:rFonts w:ascii="Times New Roman" w:hAnsi="Times New Roman"/>
          <w:sz w:val="24"/>
          <w:szCs w:val="24"/>
        </w:rPr>
      </w:pPr>
      <w:r>
        <w:rPr>
          <w:rFonts w:cs="Tahoma"/>
          <w:sz w:val="24"/>
          <w:szCs w:val="24"/>
        </w:rPr>
        <w:t>odpowiedzialność cywilna za szkody oraz następstwa nieszczęśliwych wypadków, dotyczące pracowników i osób trzecich, a powstałe w związku z prowadzonymi robotami, w tym także ruchem pojazdów mechanicznych.</w:t>
      </w:r>
    </w:p>
    <w:p>
      <w:pPr>
        <w:pStyle w:val="Normal"/>
        <w:spacing w:lineRule="atLeast" w:line="24"/>
        <w:jc w:val="both"/>
        <w:rPr>
          <w:rFonts w:ascii="Times New Roman" w:hAnsi="Times New Roman" w:cs="Tahoma"/>
          <w:sz w:val="24"/>
          <w:szCs w:val="24"/>
        </w:rPr>
      </w:pPr>
      <w:r>
        <w:rPr>
          <w:rFonts w:cs="Tahoma"/>
          <w:sz w:val="24"/>
          <w:szCs w:val="24"/>
        </w:rPr>
        <w:t xml:space="preserve">3. </w:t>
      </w:r>
      <w:r>
        <w:rPr>
          <w:rFonts w:cs="Tahoma"/>
          <w:b/>
          <w:bCs/>
          <w:sz w:val="24"/>
          <w:szCs w:val="24"/>
        </w:rPr>
        <w:t>Podwykonawca przed terminem przekazania terenu budowy</w:t>
      </w:r>
      <w:r>
        <w:rPr>
          <w:rFonts w:cs="Tahoma"/>
          <w:b w:val="false"/>
          <w:bCs w:val="false"/>
          <w:sz w:val="24"/>
          <w:szCs w:val="24"/>
        </w:rPr>
        <w:t>,</w:t>
      </w:r>
      <w:r>
        <w:rPr>
          <w:rFonts w:cs="Tahoma"/>
          <w:sz w:val="24"/>
          <w:szCs w:val="24"/>
        </w:rPr>
        <w:t xml:space="preserve"> </w:t>
      </w:r>
      <w:r>
        <w:rPr>
          <w:rFonts w:cs="Tahoma"/>
          <w:b/>
          <w:bCs/>
          <w:sz w:val="24"/>
          <w:szCs w:val="24"/>
        </w:rPr>
        <w:t>przedłoży do wglądu Wykonawcy umowy ubezpieczenia</w:t>
      </w:r>
      <w:r>
        <w:rPr>
          <w:rFonts w:cs="Tahoma"/>
          <w:sz w:val="24"/>
          <w:szCs w:val="24"/>
        </w:rPr>
        <w:t>, o których mowa w ust. 1.</w:t>
      </w:r>
    </w:p>
    <w:p>
      <w:pPr>
        <w:pStyle w:val="Normal"/>
        <w:spacing w:lineRule="atLeast" w:line="24"/>
        <w:jc w:val="both"/>
        <w:rPr>
          <w:rFonts w:ascii="Times New Roman" w:hAnsi="Times New Roman" w:cs="Tahoma"/>
          <w:sz w:val="24"/>
          <w:szCs w:val="24"/>
        </w:rPr>
      </w:pPr>
      <w:r>
        <w:rPr>
          <w:rFonts w:cs="Tahoma"/>
          <w:sz w:val="24"/>
          <w:szCs w:val="24"/>
        </w:rPr>
        <w:t xml:space="preserve">4. </w:t>
      </w:r>
      <w:r>
        <w:rPr>
          <w:rFonts w:cs="Tahoma"/>
          <w:b w:val="false"/>
          <w:bCs w:val="false"/>
          <w:color w:val="000000"/>
          <w:sz w:val="24"/>
          <w:szCs w:val="24"/>
        </w:rPr>
        <w:t xml:space="preserve">Wykonawca </w:t>
      </w:r>
      <w:r>
        <w:rPr>
          <w:rFonts w:cs="Tahoma"/>
          <w:color w:val="000000"/>
          <w:sz w:val="24"/>
          <w:szCs w:val="24"/>
        </w:rPr>
        <w:t xml:space="preserve">nie przekaże terenu budowy do czasu przedłożenia dokumentów, o których mowa w ust.3. Zwłoka z tego tytułu będzie traktowana jako powstała z przyczyn zależnych od Podwykonawcy i nie może stanowić podstawy do zmiany terminu zakończenia robót.   </w:t>
      </w:r>
    </w:p>
    <w:p>
      <w:pPr>
        <w:pStyle w:val="Normal"/>
        <w:jc w:val="both"/>
        <w:rPr/>
      </w:pPr>
      <w:r>
        <w:rPr>
          <w:rFonts w:cs="Tahoma"/>
          <w:color w:val="000000"/>
        </w:rPr>
        <w:t xml:space="preserve">                                                                       </w:t>
      </w:r>
    </w:p>
    <w:p>
      <w:pPr>
        <w:pStyle w:val="Normal"/>
        <w:jc w:val="center"/>
        <w:rPr/>
      </w:pPr>
      <w:r>
        <w:rPr>
          <w:rFonts w:cs="Tahoma"/>
          <w:color w:val="000000"/>
        </w:rPr>
        <w:t xml:space="preserve">  </w:t>
      </w:r>
      <w:r>
        <w:rPr>
          <w:rFonts w:cs="Tahoma"/>
          <w:color w:val="000000"/>
        </w:rPr>
        <w:t xml:space="preserve">§ 14 </w:t>
      </w:r>
    </w:p>
    <w:p>
      <w:pPr>
        <w:pStyle w:val="Normal"/>
        <w:jc w:val="both"/>
        <w:rPr>
          <w:rFonts w:cs="Tahoma"/>
          <w:color w:val="000000"/>
        </w:rPr>
      </w:pPr>
      <w:r>
        <w:rPr>
          <w:rFonts w:cs="Tahoma"/>
          <w:color w:val="000000"/>
        </w:rPr>
      </w:r>
    </w:p>
    <w:p>
      <w:pPr>
        <w:pStyle w:val="Normal"/>
        <w:jc w:val="both"/>
        <w:rPr>
          <w:color w:val="FF3300"/>
        </w:rPr>
      </w:pPr>
      <w:r>
        <w:rPr>
          <w:rFonts w:cs="Tahoma"/>
          <w:color w:val="000000"/>
        </w:rPr>
        <w:t xml:space="preserve"> </w:t>
      </w:r>
      <w:r>
        <w:rPr>
          <w:rFonts w:cs="Tahoma"/>
          <w:color w:val="000000"/>
        </w:rPr>
        <w:t>Umowę sporządzono w 2-ch jednobrzmiących egzemplarzach, po 1 egz. dla każdej ze stron.</w:t>
      </w:r>
    </w:p>
    <w:p>
      <w:pPr>
        <w:pStyle w:val="Normal"/>
        <w:jc w:val="both"/>
        <w:rPr>
          <w:rFonts w:cs="Tahoma"/>
        </w:rPr>
      </w:pPr>
      <w:r>
        <w:rPr>
          <w:rFonts w:cs="Tahoma"/>
        </w:rPr>
      </w:r>
    </w:p>
    <w:p>
      <w:pPr>
        <w:pStyle w:val="Normal"/>
        <w:jc w:val="both"/>
        <w:rPr>
          <w:rFonts w:ascii="Tahoma" w:hAnsi="Tahoma"/>
          <w:b w:val="false"/>
          <w:b w:val="false"/>
          <w:bCs w:val="false"/>
          <w:i w:val="false"/>
          <w:i w:val="false"/>
          <w:iCs w:val="false"/>
          <w:color w:val="000000"/>
          <w:sz w:val="22"/>
          <w:szCs w:val="22"/>
        </w:rPr>
      </w:pPr>
      <w:r>
        <w:rPr>
          <w:rFonts w:ascii="Tahoma" w:hAnsi="Tahoma"/>
          <w:b w:val="false"/>
          <w:bCs w:val="false"/>
          <w:i w:val="false"/>
          <w:iCs w:val="false"/>
          <w:color w:val="000000"/>
          <w:sz w:val="22"/>
          <w:szCs w:val="22"/>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color w:val="FF3300"/>
        </w:rPr>
      </w:pPr>
      <w:r>
        <w:rPr>
          <w:rFonts w:cs="Tahoma"/>
          <w:b/>
          <w:bCs/>
          <w:color w:val="000000"/>
        </w:rPr>
        <w:t>P O D W Y K O N A W C A</w:t>
      </w:r>
      <w:r>
        <w:rPr>
          <w:rFonts w:cs="Tahoma"/>
          <w:b/>
          <w:bCs/>
          <w:color w:val="000000"/>
          <w:sz w:val="28"/>
          <w:szCs w:val="28"/>
        </w:rPr>
        <w:t xml:space="preserve"> :                                         </w:t>
      </w:r>
      <w:r>
        <w:rPr>
          <w:rFonts w:cs="Tahoma"/>
          <w:b/>
          <w:bCs/>
          <w:color w:val="000000"/>
        </w:rPr>
        <w:t xml:space="preserve"> W Y K O N A W C A:</w:t>
      </w:r>
    </w:p>
    <w:p>
      <w:pPr>
        <w:pStyle w:val="Normal"/>
        <w:jc w:val="both"/>
        <w:rPr/>
      </w:pPr>
      <w:r>
        <w:rPr/>
      </w:r>
    </w:p>
    <w:sectPr>
      <w:footerReference w:type="default" r:id="rId2"/>
      <w:type w:val="nextPage"/>
      <w:pgSz w:w="11906" w:h="16838"/>
      <w:pgMar w:left="1417" w:right="850" w:header="0" w:top="1134" w:footer="708" w:bottom="1060"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Liberation Sans">
    <w:altName w:val="Arial"/>
    <w:charset w:val="ee"/>
    <w:family w:val="roman"/>
    <w:pitch w:val="variable"/>
  </w:font>
  <w:font w:name="Arial">
    <w:charset w:val="ee"/>
    <w:family w:val="roman"/>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mc:AlternateContent>
        <mc:Choice Requires="wps">
          <w:drawing>
            <wp:anchor behindDoc="1" distT="0" distB="0" distL="0" distR="0" simplePos="0" locked="0" layoutInCell="1" allowOverlap="1" relativeHeight="5">
              <wp:simplePos x="0" y="0"/>
              <wp:positionH relativeFrom="margin">
                <wp:align>center</wp:align>
              </wp:positionH>
              <wp:positionV relativeFrom="paragraph">
                <wp:posOffset>635</wp:posOffset>
              </wp:positionV>
              <wp:extent cx="83820" cy="174625"/>
              <wp:effectExtent l="0" t="0" r="0" b="0"/>
              <wp:wrapSquare wrapText="largest"/>
              <wp:docPr id="1" name="Ramka1"/>
              <a:graphic xmlns:a="http://schemas.openxmlformats.org/drawingml/2006/main">
                <a:graphicData uri="http://schemas.microsoft.com/office/word/2010/wordprocessingShape">
                  <wps:wsp>
                    <wps:cNvSpPr/>
                    <wps:spPr>
                      <a:xfrm>
                        <a:off x="0" y="0"/>
                        <a:ext cx="83160" cy="173880"/>
                      </a:xfrm>
                      <a:prstGeom prst="rect">
                        <a:avLst/>
                      </a:prstGeom>
                      <a:noFill/>
                      <a:ln>
                        <a:noFill/>
                      </a:ln>
                    </wps:spPr>
                    <wps:style>
                      <a:lnRef idx="0"/>
                      <a:fillRef idx="0"/>
                      <a:effectRef idx="0"/>
                      <a:fontRef idx="minor"/>
                    </wps:style>
                    <wps:txbx>
                      <w:txbxContent>
                        <w:p>
                          <w:pPr>
                            <w:pStyle w:val="Stopka"/>
                            <w:rPr>
                              <w:color w:val="000000"/>
                            </w:rPr>
                          </w:pPr>
                          <w:r>
                            <w:rPr>
                              <w:color w:val="000000"/>
                            </w:rPr>
                            <w:fldChar w:fldCharType="begin"/>
                          </w:r>
                          <w:r>
                            <w:instrText> PAGE </w:instrText>
                          </w:r>
                          <w:r>
                            <w:fldChar w:fldCharType="separate"/>
                          </w:r>
                          <w:r>
                            <w:t>5</w:t>
                          </w:r>
                          <w:r>
                            <w:fldChar w:fldCharType="end"/>
                          </w:r>
                        </w:p>
                      </w:txbxContent>
                    </wps:txbx>
                    <wps:bodyPr lIns="0" rIns="0" tIns="0" bIns="0">
                      <a:spAutoFit/>
                    </wps:bodyPr>
                  </wps:wsp>
                </a:graphicData>
              </a:graphic>
            </wp:anchor>
          </w:drawing>
        </mc:Choice>
        <mc:Fallback>
          <w:pict>
            <v:rect id="shape_0" ID="Ramka1" stroked="f" style="position:absolute;margin-left:237.65pt;margin-top:0.05pt;width:6.5pt;height:13.65pt;mso-position-horizontal:center;mso-position-horizontal-relative:margin">
              <w10:wrap type="square"/>
              <v:fill on="false" o:detectmouseclick="t"/>
              <v:stroke color="#3465a4" joinstyle="round" endcap="flat"/>
              <v:textbox>
                <w:txbxContent>
                  <w:p>
                    <w:pPr>
                      <w:pStyle w:val="Stopka"/>
                      <w:rPr>
                        <w:color w:val="000000"/>
                      </w:rPr>
                    </w:pPr>
                    <w:r>
                      <w:rPr>
                        <w:color w:val="000000"/>
                      </w:rPr>
                      <w:fldChar w:fldCharType="begin"/>
                    </w:r>
                    <w:r>
                      <w:instrText> PAGE </w:instrText>
                    </w:r>
                    <w:r>
                      <w:fldChar w:fldCharType="separate"/>
                    </w:r>
                    <w:r>
                      <w:t>5</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sz w:val="24"/>
        <w:szCs w:val="22"/>
      </w:rPr>
    </w:lvl>
    <w:lvl w:ilvl="1">
      <w:start w:val="1"/>
      <w:numFmt w:val="decimal"/>
      <w:lvlText w:val="%2."/>
      <w:lvlJc w:val="left"/>
      <w:pPr>
        <w:tabs>
          <w:tab w:val="num" w:pos="1080"/>
        </w:tabs>
        <w:ind w:left="1080" w:hanging="360"/>
      </w:pPr>
      <w:rPr>
        <w:sz w:val="24"/>
        <w:szCs w:val="22"/>
      </w:rPr>
    </w:lvl>
    <w:lvl w:ilvl="2">
      <w:start w:val="1"/>
      <w:numFmt w:val="decimal"/>
      <w:lvlText w:val="%3."/>
      <w:lvlJc w:val="left"/>
      <w:pPr>
        <w:tabs>
          <w:tab w:val="num" w:pos="1440"/>
        </w:tabs>
        <w:ind w:left="1440" w:hanging="360"/>
      </w:pPr>
      <w:rPr>
        <w:sz w:val="24"/>
        <w:szCs w:val="22"/>
      </w:rPr>
    </w:lvl>
    <w:lvl w:ilvl="3">
      <w:start w:val="1"/>
      <w:numFmt w:val="decimal"/>
      <w:lvlText w:val="%4."/>
      <w:lvlJc w:val="left"/>
      <w:pPr>
        <w:tabs>
          <w:tab w:val="num" w:pos="1800"/>
        </w:tabs>
        <w:ind w:left="1800" w:hanging="360"/>
      </w:pPr>
      <w:rPr>
        <w:sz w:val="24"/>
        <w:szCs w:val="22"/>
      </w:rPr>
    </w:lvl>
    <w:lvl w:ilvl="4">
      <w:start w:val="1"/>
      <w:numFmt w:val="decimal"/>
      <w:lvlText w:val="%5."/>
      <w:lvlJc w:val="left"/>
      <w:pPr>
        <w:tabs>
          <w:tab w:val="num" w:pos="2160"/>
        </w:tabs>
        <w:ind w:left="2160" w:hanging="360"/>
      </w:pPr>
      <w:rPr>
        <w:sz w:val="24"/>
        <w:szCs w:val="22"/>
      </w:rPr>
    </w:lvl>
    <w:lvl w:ilvl="5">
      <w:start w:val="1"/>
      <w:numFmt w:val="decimal"/>
      <w:lvlText w:val="%6."/>
      <w:lvlJc w:val="left"/>
      <w:pPr>
        <w:tabs>
          <w:tab w:val="num" w:pos="2520"/>
        </w:tabs>
        <w:ind w:left="2520" w:hanging="360"/>
      </w:pPr>
      <w:rPr>
        <w:sz w:val="24"/>
        <w:szCs w:val="22"/>
      </w:rPr>
    </w:lvl>
    <w:lvl w:ilvl="6">
      <w:start w:val="1"/>
      <w:numFmt w:val="decimal"/>
      <w:lvlText w:val="%7."/>
      <w:lvlJc w:val="left"/>
      <w:pPr>
        <w:tabs>
          <w:tab w:val="num" w:pos="2880"/>
        </w:tabs>
        <w:ind w:left="2880" w:hanging="360"/>
      </w:pPr>
      <w:rPr>
        <w:sz w:val="24"/>
        <w:szCs w:val="22"/>
      </w:rPr>
    </w:lvl>
    <w:lvl w:ilvl="7">
      <w:start w:val="1"/>
      <w:numFmt w:val="decimal"/>
      <w:lvlText w:val="%8."/>
      <w:lvlJc w:val="left"/>
      <w:pPr>
        <w:tabs>
          <w:tab w:val="num" w:pos="3240"/>
        </w:tabs>
        <w:ind w:left="3240" w:hanging="360"/>
      </w:pPr>
      <w:rPr>
        <w:sz w:val="24"/>
        <w:szCs w:val="22"/>
      </w:rPr>
    </w:lvl>
    <w:lvl w:ilvl="8">
      <w:start w:val="1"/>
      <w:numFmt w:val="decimal"/>
      <w:lvlText w:val="%9."/>
      <w:lvlJc w:val="left"/>
      <w:pPr>
        <w:tabs>
          <w:tab w:val="num" w:pos="3600"/>
        </w:tabs>
        <w:ind w:left="3600" w:hanging="360"/>
      </w:pPr>
      <w:rPr>
        <w:sz w:val="24"/>
        <w:szCs w:val="22"/>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a3502"/>
    <w:pPr>
      <w:widowControl w:val="false"/>
      <w:suppressAutoHyphens w:val="true"/>
      <w:bidi w:val="0"/>
      <w:jc w:val="left"/>
    </w:pPr>
    <w:rPr>
      <w:rFonts w:ascii="Times New Roman" w:hAnsi="Times New Roman" w:eastAsia="Arial Unicode MS" w:cs="Times New Roman"/>
      <w:color w:val="00000A"/>
      <w:sz w:val="24"/>
      <w:szCs w:val="24"/>
      <w:lang w:val="pl-PL" w:eastAsia="pl-PL" w:bidi="ar-SA"/>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4a3502"/>
    <w:rPr/>
  </w:style>
  <w:style w:type="character" w:styleId="WWAbsatzStandardschriftart" w:customStyle="1">
    <w:name w:val="WW-Absatz-Standardschriftart"/>
    <w:qFormat/>
    <w:rsid w:val="004a3502"/>
    <w:rPr/>
  </w:style>
  <w:style w:type="character" w:styleId="WWAbsatzStandardschriftart1" w:customStyle="1">
    <w:name w:val="WW-Absatz-Standardschriftart1"/>
    <w:qFormat/>
    <w:rsid w:val="004a3502"/>
    <w:rPr/>
  </w:style>
  <w:style w:type="character" w:styleId="Znakinumeracji" w:customStyle="1">
    <w:name w:val="Znaki numeracji"/>
    <w:qFormat/>
    <w:rsid w:val="004a3502"/>
    <w:rPr/>
  </w:style>
  <w:style w:type="character" w:styleId="Pagenumber">
    <w:name w:val="page number"/>
    <w:basedOn w:val="DefaultParagraphFont"/>
    <w:qFormat/>
    <w:rsid w:val="008b46e0"/>
    <w:rPr/>
  </w:style>
  <w:style w:type="character" w:styleId="WW8Num14z0">
    <w:name w:val="WW8Num14z0"/>
    <w:qFormat/>
    <w:rPr>
      <w:rFonts w:ascii="Symbol" w:hAnsi="Symbol" w:eastAsia="Tahoma" w:cs="Symbol"/>
      <w:sz w:val="22"/>
      <w:szCs w:val="22"/>
    </w:rPr>
  </w:style>
  <w:style w:type="character" w:styleId="ListLabel1">
    <w:name w:val="ListLabel 1"/>
    <w:qFormat/>
    <w:rPr>
      <w:rFonts w:ascii="Times New Roman" w:hAnsi="Times New Roman"/>
      <w:sz w:val="24"/>
      <w:szCs w:val="22"/>
    </w:rPr>
  </w:style>
  <w:style w:type="character" w:styleId="WW8Num47z0">
    <w:name w:val="WW8Num47z0"/>
    <w:qFormat/>
    <w:rPr>
      <w:rFonts w:cs="Times New Roman"/>
    </w:rPr>
  </w:style>
  <w:style w:type="character" w:styleId="ListLabel2">
    <w:name w:val="ListLabel 2"/>
    <w:qFormat/>
    <w:rPr>
      <w:rFonts w:ascii="Times New Roman" w:hAnsi="Times New Roman"/>
      <w:sz w:val="24"/>
      <w:szCs w:val="22"/>
    </w:rPr>
  </w:style>
  <w:style w:type="character" w:styleId="ListLabel3">
    <w:name w:val="ListLabel 3"/>
    <w:qFormat/>
    <w:rPr>
      <w:rFonts w:ascii="Times New Roman" w:hAnsi="Times New Roman"/>
      <w:sz w:val="24"/>
      <w:szCs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rsid w:val="004a3502"/>
    <w:pPr>
      <w:spacing w:before="0" w:after="120"/>
    </w:pPr>
    <w:rPr/>
  </w:style>
  <w:style w:type="paragraph" w:styleId="Lista">
    <w:name w:val="Lista"/>
    <w:basedOn w:val="Tretekstu"/>
    <w:rsid w:val="004a3502"/>
    <w:pPr/>
    <w:rPr>
      <w:rFonts w:cs="Tahoma"/>
    </w:rPr>
  </w:style>
  <w:style w:type="paragraph" w:styleId="Podpis">
    <w:name w:val="Podpis"/>
    <w:basedOn w:val="Normal"/>
    <w:pPr>
      <w:suppressLineNumbers/>
      <w:spacing w:before="120" w:after="120"/>
    </w:pPr>
    <w:rPr>
      <w:rFonts w:cs="Mangal"/>
      <w:i/>
      <w:iCs/>
      <w:sz w:val="24"/>
      <w:szCs w:val="24"/>
    </w:rPr>
  </w:style>
  <w:style w:type="paragraph" w:styleId="Indeks" w:customStyle="1">
    <w:name w:val="Indeks"/>
    <w:basedOn w:val="Normal"/>
    <w:qFormat/>
    <w:rsid w:val="004a3502"/>
    <w:pPr>
      <w:suppressLineNumbers/>
    </w:pPr>
    <w:rPr>
      <w:rFonts w:cs="Tahoma"/>
    </w:rPr>
  </w:style>
  <w:style w:type="paragraph" w:styleId="Podpis1" w:customStyle="1">
    <w:name w:val="Podpis1"/>
    <w:basedOn w:val="Normal"/>
    <w:qFormat/>
    <w:rsid w:val="004a3502"/>
    <w:pPr>
      <w:suppressLineNumbers/>
      <w:spacing w:before="120" w:after="120"/>
    </w:pPr>
    <w:rPr>
      <w:rFonts w:cs="Tahoma"/>
      <w:i/>
      <w:iCs/>
    </w:rPr>
  </w:style>
  <w:style w:type="paragraph" w:styleId="Gwka">
    <w:name w:val="Główka"/>
    <w:basedOn w:val="Normal"/>
    <w:rsid w:val="004a3502"/>
    <w:pPr>
      <w:keepNext/>
      <w:spacing w:before="240" w:after="120"/>
    </w:pPr>
    <w:rPr>
      <w:rFonts w:ascii="Arial" w:hAnsi="Arial" w:eastAsia="MS Mincho" w:cs="Tahoma"/>
      <w:sz w:val="28"/>
      <w:szCs w:val="28"/>
    </w:rPr>
  </w:style>
  <w:style w:type="paragraph" w:styleId="Stopka">
    <w:name w:val="Stopka"/>
    <w:basedOn w:val="Normal"/>
    <w:rsid w:val="008b46e0"/>
    <w:pPr>
      <w:tabs>
        <w:tab w:val="center" w:pos="4536" w:leader="none"/>
        <w:tab w:val="right" w:pos="9072" w:leader="none"/>
      </w:tabs>
    </w:pPr>
    <w:rPr/>
  </w:style>
  <w:style w:type="paragraph" w:styleId="Zawartoramki">
    <w:name w:val="Zawartość ramki"/>
    <w:basedOn w:val="Normal"/>
    <w:qFormat/>
    <w:pPr/>
    <w:rPr/>
  </w:style>
  <w:style w:type="paragraph" w:styleId="WWTekstpodstawowy2">
    <w:name w:val="WW-Tekst podstawowy 2"/>
    <w:basedOn w:val="Normal"/>
    <w:qFormat/>
    <w:pPr>
      <w:suppressAutoHyphens w:val="true"/>
      <w:jc w:val="both"/>
    </w:pPr>
    <w:rPr>
      <w:szCs w:val="20"/>
    </w:rPr>
  </w:style>
  <w:style w:type="numbering" w:styleId="NoList" w:default="1">
    <w:name w:val="No List"/>
    <w:uiPriority w:val="99"/>
    <w:semiHidden/>
    <w:unhideWhenUsed/>
  </w:style>
  <w:style w:type="numbering" w:styleId="WW8Num14">
    <w:name w:val="WW8Num14"/>
  </w:style>
  <w:style w:type="numbering" w:styleId="WW8Num16">
    <w:name w:val="WW8Num16"/>
  </w:style>
  <w:style w:type="numbering" w:styleId="WW8Num15">
    <w:name w:val="WW8Num15"/>
  </w:style>
  <w:style w:type="numbering" w:styleId="WW8Num4">
    <w:name w:val="WW8Num4"/>
  </w:style>
  <w:style w:type="numbering" w:styleId="WW8Num40">
    <w:name w:val="WW8Num40"/>
  </w:style>
  <w:style w:type="numbering" w:styleId="WW8Num47">
    <w:name w:val="WW8Num47"/>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27989</TotalTime>
  <Application>LibreOffice/4.4.1.2$Windows_x86 LibreOffice_project/45e2de17089c24a1fa810c8f975a7171ba4cd432</Application>
  <Paragraphs>111</Paragraphs>
  <Company>TBS KARO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2015-01-05T09:00:00Z</dcterms:created>
  <dc:creator>Roman</dc:creator>
  <dc:language>pl-PL</dc:language>
  <cp:lastPrinted>2017-09-14T12:34:49Z</cp:lastPrinted>
  <dcterms:modified xsi:type="dcterms:W3CDTF">2017-09-25T11:31:28Z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TBS KARO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